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672C1" w14:textId="254BDA1C" w:rsidR="00C578EE" w:rsidRPr="003B6D48" w:rsidRDefault="00061755" w:rsidP="00DA3547">
      <w:pPr>
        <w:keepNext/>
        <w:spacing w:before="200" w:after="100" w:line="276" w:lineRule="auto"/>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 xml:space="preserve">PROPOSAL OF THE BOARD OF DIRECTORS OF </w:t>
      </w:r>
      <w:r w:rsidR="00C93954" w:rsidRPr="003B6D48">
        <w:rPr>
          <w:rFonts w:ascii="Constantia" w:eastAsia="Times New Roman" w:hAnsi="Constantia" w:cs="Arial"/>
          <w:b/>
          <w:bCs/>
          <w:caps/>
          <w:kern w:val="32"/>
          <w:sz w:val="21"/>
          <w:szCs w:val="21"/>
          <w:lang w:val="en-GB" w:eastAsia="sv-SE"/>
        </w:rPr>
        <w:t>Wyld Networks</w:t>
      </w:r>
      <w:r w:rsidRPr="003B6D48">
        <w:rPr>
          <w:rFonts w:ascii="Constantia" w:eastAsia="Times New Roman" w:hAnsi="Constantia" w:cs="Arial"/>
          <w:b/>
          <w:bCs/>
          <w:caps/>
          <w:kern w:val="32"/>
          <w:sz w:val="21"/>
          <w:szCs w:val="21"/>
          <w:lang w:val="en-GB" w:eastAsia="sv-SE"/>
        </w:rPr>
        <w:t xml:space="preserve"> AB FOR A RESOLUTION regarding (A) </w:t>
      </w:r>
      <w:r w:rsidR="00494AEF" w:rsidRPr="003B6D48">
        <w:rPr>
          <w:rFonts w:ascii="Constantia" w:eastAsia="Times New Roman" w:hAnsi="Constantia" w:cs="Arial"/>
          <w:b/>
          <w:bCs/>
          <w:caps/>
          <w:kern w:val="32"/>
          <w:sz w:val="21"/>
          <w:szCs w:val="21"/>
          <w:lang w:val="en-GB" w:eastAsia="sv-SE"/>
        </w:rPr>
        <w:t xml:space="preserve">implementation of </w:t>
      </w:r>
      <w:r w:rsidR="00D5218A" w:rsidRPr="003B6D48">
        <w:rPr>
          <w:rFonts w:ascii="Constantia" w:eastAsia="Times New Roman" w:hAnsi="Constantia" w:cs="Arial"/>
          <w:b/>
          <w:bCs/>
          <w:caps/>
          <w:kern w:val="32"/>
          <w:sz w:val="21"/>
          <w:szCs w:val="21"/>
          <w:lang w:val="en-GB" w:eastAsia="sv-SE"/>
        </w:rPr>
        <w:t>option program</w:t>
      </w:r>
      <w:r w:rsidRPr="003B6D48">
        <w:rPr>
          <w:rFonts w:ascii="Constantia" w:eastAsia="Times New Roman" w:hAnsi="Constantia" w:cs="Arial"/>
          <w:b/>
          <w:bCs/>
          <w:caps/>
          <w:kern w:val="32"/>
          <w:sz w:val="21"/>
          <w:szCs w:val="21"/>
          <w:lang w:val="en-GB" w:eastAsia="sv-SE"/>
        </w:rPr>
        <w:t xml:space="preserve"> 202</w:t>
      </w:r>
      <w:r w:rsidR="00C93954" w:rsidRPr="003B6D48">
        <w:rPr>
          <w:rFonts w:ascii="Constantia" w:eastAsia="Times New Roman" w:hAnsi="Constantia" w:cs="Arial"/>
          <w:b/>
          <w:bCs/>
          <w:caps/>
          <w:kern w:val="32"/>
          <w:sz w:val="21"/>
          <w:szCs w:val="21"/>
          <w:lang w:val="en-GB" w:eastAsia="sv-SE"/>
        </w:rPr>
        <w:t>2</w:t>
      </w:r>
      <w:r w:rsidRPr="003B6D48">
        <w:rPr>
          <w:rFonts w:ascii="Constantia" w:eastAsia="Times New Roman" w:hAnsi="Constantia" w:cs="Arial"/>
          <w:b/>
          <w:bCs/>
          <w:caps/>
          <w:kern w:val="32"/>
          <w:sz w:val="21"/>
          <w:szCs w:val="21"/>
          <w:lang w:val="en-GB" w:eastAsia="sv-SE"/>
        </w:rPr>
        <w:t>/20</w:t>
      </w:r>
      <w:r w:rsidR="006B4BCF">
        <w:rPr>
          <w:rFonts w:ascii="Constantia" w:eastAsia="Times New Roman" w:hAnsi="Constantia" w:cs="Arial"/>
          <w:b/>
          <w:bCs/>
          <w:caps/>
          <w:kern w:val="32"/>
          <w:sz w:val="21"/>
          <w:szCs w:val="21"/>
          <w:lang w:val="en-GB" w:eastAsia="sv-SE"/>
        </w:rPr>
        <w:t>32</w:t>
      </w:r>
      <w:r w:rsidRPr="003B6D48">
        <w:rPr>
          <w:rFonts w:ascii="Constantia" w:eastAsia="Times New Roman" w:hAnsi="Constantia" w:cs="Arial"/>
          <w:b/>
          <w:bCs/>
          <w:caps/>
          <w:kern w:val="32"/>
          <w:sz w:val="21"/>
          <w:szCs w:val="21"/>
          <w:lang w:val="en-GB" w:eastAsia="sv-SE"/>
        </w:rPr>
        <w:t xml:space="preserve"> and (b) </w:t>
      </w:r>
      <w:r w:rsidR="00D5218A" w:rsidRPr="003B6D48">
        <w:rPr>
          <w:rFonts w:ascii="Constantia" w:eastAsia="Times New Roman" w:hAnsi="Constantia" w:cs="Arial"/>
          <w:b/>
          <w:bCs/>
          <w:caps/>
          <w:kern w:val="32"/>
          <w:sz w:val="21"/>
          <w:szCs w:val="21"/>
          <w:lang w:val="en-GB" w:eastAsia="sv-SE"/>
        </w:rPr>
        <w:t>Directed issue of warrants and approval of transfer of warrants to fulfil the company’s commitments under the option program</w:t>
      </w:r>
    </w:p>
    <w:p w14:paraId="239D4CCD" w14:textId="4E549EC4"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board of directors of </w:t>
      </w:r>
      <w:r w:rsidR="00C93954" w:rsidRPr="003B6D48">
        <w:rPr>
          <w:rFonts w:ascii="Constantia" w:eastAsia="Calibri" w:hAnsi="Constantia" w:cs="Times New Roman"/>
          <w:sz w:val="21"/>
          <w:szCs w:val="21"/>
          <w:lang w:val="en-GB"/>
        </w:rPr>
        <w:t>Wyld Networks AB</w:t>
      </w:r>
      <w:r w:rsidRPr="003B6D48">
        <w:rPr>
          <w:rFonts w:ascii="Constantia" w:eastAsia="Calibri" w:hAnsi="Constantia" w:cs="Times New Roman"/>
          <w:sz w:val="21"/>
          <w:szCs w:val="21"/>
          <w:lang w:val="en-GB"/>
        </w:rPr>
        <w:t xml:space="preserve"> (the </w:t>
      </w:r>
      <w:r w:rsidR="00AD6AE1"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Company</w:t>
      </w:r>
      <w:r w:rsidRPr="003B6D48">
        <w:rPr>
          <w:rFonts w:ascii="Constantia" w:eastAsia="Calibri" w:hAnsi="Constantia" w:cs="Times New Roman"/>
          <w:sz w:val="21"/>
          <w:szCs w:val="21"/>
          <w:lang w:val="en-GB"/>
        </w:rPr>
        <w:t xml:space="preserve">”) proposes that the annual </w:t>
      </w:r>
      <w:r w:rsidR="00787599" w:rsidRPr="003B6D48">
        <w:rPr>
          <w:rFonts w:ascii="Constantia" w:eastAsia="Calibri" w:hAnsi="Constantia" w:cs="Times New Roman"/>
          <w:sz w:val="21"/>
          <w:szCs w:val="21"/>
          <w:lang w:val="en-GB"/>
        </w:rPr>
        <w:t xml:space="preserve">general </w:t>
      </w:r>
      <w:r w:rsidRPr="003B6D48">
        <w:rPr>
          <w:rFonts w:ascii="Constantia" w:eastAsia="Calibri" w:hAnsi="Constantia" w:cs="Times New Roman"/>
          <w:sz w:val="21"/>
          <w:szCs w:val="21"/>
          <w:lang w:val="en-GB"/>
        </w:rPr>
        <w:t xml:space="preserve">meeting to be held on </w:t>
      </w:r>
      <w:r w:rsidR="00221666">
        <w:rPr>
          <w:rFonts w:ascii="Constantia" w:eastAsia="Calibri" w:hAnsi="Constantia" w:cs="Times New Roman"/>
          <w:sz w:val="21"/>
          <w:szCs w:val="21"/>
          <w:lang w:val="en-GB"/>
        </w:rPr>
        <w:t>7 June</w:t>
      </w:r>
      <w:r w:rsidR="00AF734E" w:rsidRPr="003B6D48">
        <w:rPr>
          <w:rFonts w:ascii="Constantia" w:eastAsia="Calibri" w:hAnsi="Constantia" w:cs="Times New Roman"/>
          <w:sz w:val="21"/>
          <w:szCs w:val="21"/>
          <w:lang w:val="en-GB"/>
        </w:rPr>
        <w:t xml:space="preserve"> 2022</w:t>
      </w:r>
      <w:r w:rsidRPr="003B6D48">
        <w:rPr>
          <w:rFonts w:ascii="Constantia" w:eastAsia="Calibri" w:hAnsi="Constantia" w:cs="Times New Roman"/>
          <w:sz w:val="21"/>
          <w:szCs w:val="21"/>
          <w:lang w:val="en-GB"/>
        </w:rPr>
        <w:t xml:space="preserve"> resolves to implement an </w:t>
      </w:r>
      <w:r w:rsidR="00D5218A" w:rsidRPr="003B6D48">
        <w:rPr>
          <w:rFonts w:ascii="Constantia" w:eastAsia="Calibri" w:hAnsi="Constantia" w:cs="Times New Roman"/>
          <w:sz w:val="21"/>
          <w:szCs w:val="21"/>
          <w:lang w:val="en-GB"/>
        </w:rPr>
        <w:t>Option</w:t>
      </w:r>
      <w:r w:rsidRPr="003B6D48">
        <w:rPr>
          <w:rFonts w:ascii="Constantia" w:eastAsia="Calibri" w:hAnsi="Constantia" w:cs="Times New Roman"/>
          <w:sz w:val="21"/>
          <w:szCs w:val="21"/>
          <w:lang w:val="en-GB"/>
        </w:rPr>
        <w:t xml:space="preserve"> </w:t>
      </w:r>
      <w:r w:rsidR="00D5218A" w:rsidRPr="003B6D48">
        <w:rPr>
          <w:rFonts w:ascii="Constantia" w:eastAsia="Calibri" w:hAnsi="Constantia" w:cs="Times New Roman"/>
          <w:sz w:val="21"/>
          <w:szCs w:val="21"/>
          <w:lang w:val="en-GB"/>
        </w:rPr>
        <w:t>P</w:t>
      </w:r>
      <w:r w:rsidRPr="003B6D48">
        <w:rPr>
          <w:rFonts w:ascii="Constantia" w:eastAsia="Calibri" w:hAnsi="Constantia" w:cs="Times New Roman"/>
          <w:sz w:val="21"/>
          <w:szCs w:val="21"/>
          <w:lang w:val="en-GB"/>
        </w:rPr>
        <w:t xml:space="preserve">rogram for the employees of the Company – </w:t>
      </w:r>
      <w:r w:rsidR="00D5218A"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AF734E"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 as set out below.</w:t>
      </w:r>
    </w:p>
    <w:p w14:paraId="64982385" w14:textId="77777777" w:rsidR="00C578EE" w:rsidRPr="003B6D48" w:rsidRDefault="009A55EB" w:rsidP="00C578EE">
      <w:pPr>
        <w:keepNext/>
        <w:spacing w:before="200" w:after="100" w:line="276" w:lineRule="auto"/>
        <w:jc w:val="left"/>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Background and reasons</w:t>
      </w:r>
    </w:p>
    <w:p w14:paraId="3B97975C" w14:textId="0CC6CB79" w:rsidR="00C578EE" w:rsidRPr="003B6D48" w:rsidRDefault="009A55EB" w:rsidP="00C578EE">
      <w:pPr>
        <w:rPr>
          <w:rFonts w:ascii="Constantia" w:hAnsi="Constantia"/>
          <w:sz w:val="21"/>
          <w:szCs w:val="21"/>
          <w:lang w:val="en-US"/>
        </w:rPr>
      </w:pPr>
      <w:r w:rsidRPr="003B6D48">
        <w:rPr>
          <w:rFonts w:ascii="Constantia" w:eastAsia="Calibri" w:hAnsi="Constantia" w:cs="Times New Roman"/>
          <w:sz w:val="21"/>
          <w:szCs w:val="21"/>
          <w:lang w:val="en-GB"/>
        </w:rPr>
        <w:t xml:space="preserve">The purpose of </w:t>
      </w:r>
      <w:r w:rsidR="00ED6EE3"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C6533C"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w:t>
      </w:r>
      <w:r w:rsidRPr="009D3519">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9D3519">
        <w:rPr>
          <w:rFonts w:ascii="Constantia" w:eastAsia="Calibri" w:hAnsi="Constantia" w:cs="Times New Roman"/>
          <w:sz w:val="21"/>
          <w:szCs w:val="21"/>
          <w:lang w:val="en-GB"/>
        </w:rPr>
        <w:t xml:space="preserve"> is to </w:t>
      </w:r>
      <w:r w:rsidR="00DD449B" w:rsidRPr="009D3519">
        <w:rPr>
          <w:rFonts w:ascii="Constantia" w:eastAsia="Calibri" w:hAnsi="Constantia" w:cs="Times New Roman"/>
          <w:sz w:val="21"/>
          <w:szCs w:val="21"/>
          <w:lang w:val="en-GB"/>
        </w:rPr>
        <w:t xml:space="preserve">recruit, retain and </w:t>
      </w:r>
      <w:r w:rsidRPr="009D3519">
        <w:rPr>
          <w:rFonts w:ascii="Constantia" w:eastAsia="Calibri" w:hAnsi="Constantia" w:cs="Times New Roman"/>
          <w:sz w:val="21"/>
          <w:szCs w:val="21"/>
          <w:lang w:val="en-GB"/>
        </w:rPr>
        <w:t xml:space="preserve">reward long term commitments of the Company’s employees, to ensure that the Company’s long term </w:t>
      </w:r>
      <w:r w:rsidRPr="003B6D48">
        <w:rPr>
          <w:rFonts w:ascii="Constantia" w:eastAsia="Calibri" w:hAnsi="Constantia" w:cs="Times New Roman"/>
          <w:sz w:val="21"/>
          <w:szCs w:val="21"/>
          <w:lang w:val="en-GB"/>
        </w:rPr>
        <w:t xml:space="preserve">value increase is reflected in the remuneration for the participants of the </w:t>
      </w:r>
      <w:r w:rsidR="00942670" w:rsidRPr="003B6D48">
        <w:rPr>
          <w:rFonts w:ascii="Constantia" w:eastAsia="Calibri" w:hAnsi="Constantia" w:cs="Times New Roman"/>
          <w:sz w:val="21"/>
          <w:szCs w:val="21"/>
          <w:lang w:val="en-GB"/>
        </w:rPr>
        <w:t>program</w:t>
      </w:r>
      <w:r w:rsidRPr="003B6D48">
        <w:rPr>
          <w:rFonts w:ascii="Constantia" w:eastAsia="Calibri" w:hAnsi="Constantia" w:cs="Times New Roman"/>
          <w:sz w:val="21"/>
          <w:szCs w:val="21"/>
          <w:lang w:val="en-GB"/>
        </w:rPr>
        <w:t xml:space="preserve">, to contribute to the capability to recruit and retain competent co-workers and to otherwise increase shared incentives between the group’s employees and the Company’s shareholders. </w:t>
      </w:r>
      <w:r w:rsidR="005F4697" w:rsidRPr="003B6D48">
        <w:rPr>
          <w:rFonts w:ascii="Constantia" w:eastAsia="Calibri" w:hAnsi="Constantia" w:cs="Times New Roman"/>
          <w:sz w:val="21"/>
          <w:szCs w:val="21"/>
          <w:lang w:val="en-US"/>
        </w:rPr>
        <w:t>Since the</w:t>
      </w:r>
      <w:r w:rsidR="00352444" w:rsidRPr="003B6D48">
        <w:rPr>
          <w:rFonts w:ascii="Constantia" w:eastAsia="Calibri" w:hAnsi="Constantia" w:cs="Times New Roman"/>
          <w:sz w:val="21"/>
          <w:szCs w:val="21"/>
          <w:lang w:val="en-US"/>
        </w:rPr>
        <w:t xml:space="preserve"> </w:t>
      </w:r>
      <w:r w:rsidR="007D50E9" w:rsidRPr="003B6D48">
        <w:rPr>
          <w:rFonts w:ascii="Constantia" w:eastAsia="Calibri" w:hAnsi="Constantia" w:cs="Times New Roman"/>
          <w:sz w:val="21"/>
          <w:szCs w:val="21"/>
          <w:lang w:val="en-US"/>
        </w:rPr>
        <w:t xml:space="preserve">board of directors' </w:t>
      </w:r>
      <w:r w:rsidR="00352444" w:rsidRPr="003B6D48">
        <w:rPr>
          <w:rFonts w:ascii="Constantia" w:eastAsia="Calibri" w:hAnsi="Constantia" w:cs="Times New Roman"/>
          <w:sz w:val="21"/>
          <w:szCs w:val="21"/>
          <w:lang w:val="en-US"/>
        </w:rPr>
        <w:t xml:space="preserve">assessment is that an incentive program shall be offered on a broad scale </w:t>
      </w:r>
      <w:proofErr w:type="gramStart"/>
      <w:r w:rsidR="00352444" w:rsidRPr="003B6D48">
        <w:rPr>
          <w:rFonts w:ascii="Constantia" w:eastAsia="Calibri" w:hAnsi="Constantia" w:cs="Times New Roman"/>
          <w:sz w:val="21"/>
          <w:szCs w:val="21"/>
          <w:lang w:val="en-US"/>
        </w:rPr>
        <w:t>in order to</w:t>
      </w:r>
      <w:proofErr w:type="gramEnd"/>
      <w:r w:rsidR="00352444" w:rsidRPr="003B6D48">
        <w:rPr>
          <w:rFonts w:ascii="Constantia" w:eastAsia="Calibri" w:hAnsi="Constantia" w:cs="Times New Roman"/>
          <w:sz w:val="21"/>
          <w:szCs w:val="21"/>
          <w:lang w:val="en-US"/>
        </w:rPr>
        <w:t xml:space="preserve"> best promote long</w:t>
      </w:r>
      <w:r w:rsidR="005F4697" w:rsidRPr="003B6D48">
        <w:rPr>
          <w:rFonts w:ascii="Constantia" w:eastAsia="Calibri" w:hAnsi="Constantia" w:cs="Times New Roman"/>
          <w:sz w:val="21"/>
          <w:szCs w:val="21"/>
          <w:lang w:val="en-US"/>
        </w:rPr>
        <w:t xml:space="preserve"> </w:t>
      </w:r>
      <w:r w:rsidR="00352444" w:rsidRPr="003B6D48">
        <w:rPr>
          <w:rFonts w:ascii="Constantia" w:eastAsia="Calibri" w:hAnsi="Constantia" w:cs="Times New Roman"/>
          <w:sz w:val="21"/>
          <w:szCs w:val="21"/>
          <w:lang w:val="en-US"/>
        </w:rPr>
        <w:t>term value creation</w:t>
      </w:r>
      <w:r w:rsidR="005F4697" w:rsidRPr="003B6D48">
        <w:rPr>
          <w:rFonts w:ascii="Constantia" w:eastAsia="Calibri" w:hAnsi="Constantia" w:cs="Times New Roman"/>
          <w:sz w:val="21"/>
          <w:szCs w:val="21"/>
          <w:lang w:val="en-US"/>
        </w:rPr>
        <w:t xml:space="preserve">, </w:t>
      </w:r>
      <w:r w:rsidR="00352444" w:rsidRPr="00F9301B">
        <w:rPr>
          <w:rFonts w:ascii="Constantia" w:eastAsia="Calibri" w:hAnsi="Constantia" w:cs="Times New Roman"/>
          <w:sz w:val="21"/>
          <w:szCs w:val="21"/>
          <w:lang w:val="en-US"/>
        </w:rPr>
        <w:t xml:space="preserve">no predestined and/or measurable </w:t>
      </w:r>
      <w:r w:rsidR="007D50E9" w:rsidRPr="00F9301B">
        <w:rPr>
          <w:rFonts w:ascii="Constantia" w:eastAsia="Calibri" w:hAnsi="Constantia" w:cs="Times New Roman"/>
          <w:sz w:val="21"/>
          <w:szCs w:val="21"/>
          <w:lang w:val="en-US"/>
        </w:rPr>
        <w:t xml:space="preserve">criteria are </w:t>
      </w:r>
      <w:r w:rsidR="005F4697" w:rsidRPr="00F9301B">
        <w:rPr>
          <w:rFonts w:ascii="Constantia" w:eastAsia="Calibri" w:hAnsi="Constantia" w:cs="Times New Roman"/>
          <w:sz w:val="21"/>
          <w:szCs w:val="21"/>
          <w:lang w:val="en-US"/>
        </w:rPr>
        <w:t>required in order to be eligible to participate</w:t>
      </w:r>
      <w:r w:rsidR="0095183E" w:rsidRPr="00F9301B">
        <w:rPr>
          <w:rFonts w:ascii="Constantia" w:eastAsia="Calibri" w:hAnsi="Constantia" w:cs="Times New Roman"/>
          <w:sz w:val="21"/>
          <w:szCs w:val="21"/>
          <w:lang w:val="en-US"/>
        </w:rPr>
        <w:t xml:space="preserve"> in Option Program 202</w:t>
      </w:r>
      <w:r w:rsidR="00AF734E" w:rsidRPr="00F9301B">
        <w:rPr>
          <w:rFonts w:ascii="Constantia" w:eastAsia="Calibri" w:hAnsi="Constantia" w:cs="Times New Roman"/>
          <w:sz w:val="21"/>
          <w:szCs w:val="21"/>
          <w:lang w:val="en-US"/>
        </w:rPr>
        <w:t>2</w:t>
      </w:r>
      <w:r w:rsidR="0095183E" w:rsidRPr="00F9301B">
        <w:rPr>
          <w:rFonts w:ascii="Constantia" w:eastAsia="Calibri" w:hAnsi="Constantia" w:cs="Times New Roman"/>
          <w:sz w:val="21"/>
          <w:szCs w:val="21"/>
          <w:lang w:val="en-US"/>
        </w:rPr>
        <w:t>/20</w:t>
      </w:r>
      <w:r w:rsidR="006B4BCF">
        <w:rPr>
          <w:rFonts w:ascii="Constantia" w:eastAsia="Calibri" w:hAnsi="Constantia" w:cs="Times New Roman"/>
          <w:sz w:val="21"/>
          <w:szCs w:val="21"/>
          <w:lang w:val="en-US"/>
        </w:rPr>
        <w:t>32</w:t>
      </w:r>
      <w:r w:rsidR="005F4697" w:rsidRPr="00F9301B">
        <w:rPr>
          <w:rFonts w:ascii="Constantia" w:hAnsi="Constantia"/>
          <w:sz w:val="21"/>
          <w:szCs w:val="21"/>
          <w:lang w:val="en-US"/>
        </w:rPr>
        <w:t>.</w:t>
      </w:r>
    </w:p>
    <w:p w14:paraId="4196696E" w14:textId="47B611D5" w:rsidR="00C578EE" w:rsidRDefault="00EC6CC8" w:rsidP="00C578EE">
      <w:pPr>
        <w:rPr>
          <w:rFonts w:ascii="Constantia" w:eastAsia="Calibri" w:hAnsi="Constantia" w:cs="Times New Roman"/>
          <w:sz w:val="21"/>
          <w:szCs w:val="21"/>
          <w:lang w:val="en-GB"/>
        </w:rPr>
      </w:pPr>
      <w:r w:rsidRPr="00F9301B">
        <w:rPr>
          <w:rFonts w:ascii="Constantia" w:eastAsia="Calibri" w:hAnsi="Constantia" w:cs="Times New Roman"/>
          <w:sz w:val="21"/>
          <w:szCs w:val="21"/>
          <w:lang w:val="en-GB"/>
        </w:rPr>
        <w:t>It is the intention of the board of directors to annually propose incentive programs</w:t>
      </w:r>
      <w:r w:rsidR="00AD6AE1" w:rsidRPr="00F9301B">
        <w:rPr>
          <w:rFonts w:ascii="Constantia" w:eastAsia="Calibri" w:hAnsi="Constantia" w:cs="Times New Roman"/>
          <w:sz w:val="21"/>
          <w:szCs w:val="21"/>
          <w:lang w:val="en-GB"/>
        </w:rPr>
        <w:t>.</w:t>
      </w:r>
    </w:p>
    <w:p w14:paraId="425785F7" w14:textId="4BA96390" w:rsidR="00101FD7" w:rsidRPr="003B6D48" w:rsidRDefault="009A55EB" w:rsidP="00C578EE">
      <w:pPr>
        <w:rPr>
          <w:rFonts w:ascii="Constantia" w:eastAsia="Calibri" w:hAnsi="Constantia" w:cs="Times New Roman"/>
          <w:sz w:val="21"/>
          <w:szCs w:val="21"/>
          <w:lang w:val="en-GB"/>
        </w:rPr>
      </w:pPr>
      <w:r w:rsidRPr="00101FD7">
        <w:rPr>
          <w:rFonts w:ascii="Constantia" w:eastAsia="Calibri" w:hAnsi="Constantia" w:cs="Times New Roman"/>
          <w:sz w:val="21"/>
          <w:szCs w:val="21"/>
          <w:lang w:val="en-GB"/>
        </w:rPr>
        <w:t>To secure the Company's commitments in accordance with Option Program 2022/20</w:t>
      </w:r>
      <w:r w:rsidR="006B4BCF">
        <w:rPr>
          <w:rFonts w:ascii="Constantia" w:eastAsia="Calibri" w:hAnsi="Constantia" w:cs="Times New Roman"/>
          <w:sz w:val="21"/>
          <w:szCs w:val="21"/>
          <w:lang w:val="en-GB"/>
        </w:rPr>
        <w:t>32</w:t>
      </w:r>
      <w:r w:rsidRPr="00101FD7">
        <w:rPr>
          <w:rFonts w:ascii="Constantia" w:eastAsia="Calibri" w:hAnsi="Constantia" w:cs="Times New Roman"/>
          <w:sz w:val="21"/>
          <w:szCs w:val="21"/>
          <w:lang w:val="en-GB"/>
        </w:rPr>
        <w:t xml:space="preserve">, the </w:t>
      </w:r>
      <w:r>
        <w:rPr>
          <w:rFonts w:ascii="Constantia" w:eastAsia="Calibri" w:hAnsi="Constantia" w:cs="Times New Roman"/>
          <w:sz w:val="21"/>
          <w:szCs w:val="21"/>
          <w:lang w:val="en-GB"/>
        </w:rPr>
        <w:t>board of directors</w:t>
      </w:r>
      <w:r w:rsidRPr="00101FD7">
        <w:rPr>
          <w:rFonts w:ascii="Constantia" w:eastAsia="Calibri" w:hAnsi="Constantia" w:cs="Times New Roman"/>
          <w:sz w:val="21"/>
          <w:szCs w:val="21"/>
          <w:lang w:val="en-GB"/>
        </w:rPr>
        <w:t xml:space="preserve"> also proposes that the </w:t>
      </w:r>
      <w:r>
        <w:rPr>
          <w:rFonts w:ascii="Constantia" w:eastAsia="Calibri" w:hAnsi="Constantia" w:cs="Times New Roman"/>
          <w:sz w:val="21"/>
          <w:szCs w:val="21"/>
          <w:lang w:val="en-GB"/>
        </w:rPr>
        <w:t>a</w:t>
      </w:r>
      <w:r w:rsidRPr="00101FD7">
        <w:rPr>
          <w:rFonts w:ascii="Constantia" w:eastAsia="Calibri" w:hAnsi="Constantia" w:cs="Times New Roman"/>
          <w:sz w:val="21"/>
          <w:szCs w:val="21"/>
          <w:lang w:val="en-GB"/>
        </w:rPr>
        <w:t xml:space="preserve">nnual </w:t>
      </w:r>
      <w:r>
        <w:rPr>
          <w:rFonts w:ascii="Constantia" w:eastAsia="Calibri" w:hAnsi="Constantia" w:cs="Times New Roman"/>
          <w:sz w:val="21"/>
          <w:szCs w:val="21"/>
          <w:lang w:val="en-GB"/>
        </w:rPr>
        <w:t>g</w:t>
      </w:r>
      <w:r w:rsidRPr="00101FD7">
        <w:rPr>
          <w:rFonts w:ascii="Constantia" w:eastAsia="Calibri" w:hAnsi="Constantia" w:cs="Times New Roman"/>
          <w:sz w:val="21"/>
          <w:szCs w:val="21"/>
          <w:lang w:val="en-GB"/>
        </w:rPr>
        <w:t xml:space="preserve">eneral </w:t>
      </w:r>
      <w:r>
        <w:rPr>
          <w:rFonts w:ascii="Constantia" w:eastAsia="Calibri" w:hAnsi="Constantia" w:cs="Times New Roman"/>
          <w:sz w:val="21"/>
          <w:szCs w:val="21"/>
          <w:lang w:val="en-GB"/>
        </w:rPr>
        <w:t>m</w:t>
      </w:r>
      <w:r w:rsidRPr="00101FD7">
        <w:rPr>
          <w:rFonts w:ascii="Constantia" w:eastAsia="Calibri" w:hAnsi="Constantia" w:cs="Times New Roman"/>
          <w:sz w:val="21"/>
          <w:szCs w:val="21"/>
          <w:lang w:val="en-GB"/>
        </w:rPr>
        <w:t>eeting resolves on a directed issue of warrants and on approval of the transfer of warrants in accordance with item B below.</w:t>
      </w:r>
    </w:p>
    <w:p w14:paraId="32BB28E0" w14:textId="661559CE"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Given the reasons set out above and the main terms and conditions set out below it is the opinion of the board of directors that the proposed </w:t>
      </w:r>
      <w:r w:rsidR="007A3E3C"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AF734E"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is reasonable and beneficial for the Company and its shareholders.</w:t>
      </w:r>
    </w:p>
    <w:p w14:paraId="511BF28A" w14:textId="488E2EFC" w:rsidR="00C578EE" w:rsidRPr="003B6D48" w:rsidRDefault="009A55EB" w:rsidP="00D520B0">
      <w:pPr>
        <w:keepNext/>
        <w:spacing w:before="200" w:after="100" w:line="276" w:lineRule="auto"/>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 xml:space="preserve">(A) </w:t>
      </w:r>
      <w:r w:rsidR="00D520B0" w:rsidRPr="003B6D48">
        <w:rPr>
          <w:rFonts w:ascii="Constantia" w:eastAsia="Times New Roman" w:hAnsi="Constantia" w:cs="Arial"/>
          <w:b/>
          <w:bCs/>
          <w:iCs/>
          <w:kern w:val="32"/>
          <w:sz w:val="21"/>
          <w:szCs w:val="21"/>
          <w:lang w:val="en-GB" w:eastAsia="sv-SE"/>
        </w:rPr>
        <w:t>Proposal by the board of directors on resolution regarding implementation of Option Program 202</w:t>
      </w:r>
      <w:r w:rsidR="00AF734E" w:rsidRPr="003B6D48">
        <w:rPr>
          <w:rFonts w:ascii="Constantia" w:eastAsia="Times New Roman" w:hAnsi="Constantia" w:cs="Arial"/>
          <w:b/>
          <w:bCs/>
          <w:iCs/>
          <w:kern w:val="32"/>
          <w:sz w:val="21"/>
          <w:szCs w:val="21"/>
          <w:lang w:val="en-GB" w:eastAsia="sv-SE"/>
        </w:rPr>
        <w:t>2</w:t>
      </w:r>
      <w:r w:rsidR="00D520B0" w:rsidRPr="003B6D48">
        <w:rPr>
          <w:rFonts w:ascii="Constantia" w:eastAsia="Times New Roman" w:hAnsi="Constantia" w:cs="Arial"/>
          <w:b/>
          <w:bCs/>
          <w:iCs/>
          <w:kern w:val="32"/>
          <w:sz w:val="21"/>
          <w:szCs w:val="21"/>
          <w:lang w:val="en-GB" w:eastAsia="sv-SE"/>
        </w:rPr>
        <w:t>/20</w:t>
      </w:r>
      <w:r w:rsidR="006B4BCF">
        <w:rPr>
          <w:rFonts w:ascii="Constantia" w:eastAsia="Times New Roman" w:hAnsi="Constantia" w:cs="Arial"/>
          <w:b/>
          <w:bCs/>
          <w:iCs/>
          <w:kern w:val="32"/>
          <w:sz w:val="21"/>
          <w:szCs w:val="21"/>
          <w:lang w:val="en-GB" w:eastAsia="sv-SE"/>
        </w:rPr>
        <w:t>32</w:t>
      </w:r>
    </w:p>
    <w:p w14:paraId="383477D1" w14:textId="40CF555D" w:rsidR="00D520B0" w:rsidRPr="003B6D48" w:rsidRDefault="009A55EB" w:rsidP="00D520B0">
      <w:pPr>
        <w:keepNext/>
        <w:spacing w:before="200" w:after="100" w:line="276" w:lineRule="auto"/>
        <w:outlineLvl w:val="2"/>
        <w:rPr>
          <w:rFonts w:ascii="Constantia" w:eastAsia="Times New Roman" w:hAnsi="Constantia" w:cs="Arial"/>
          <w:iCs/>
          <w:kern w:val="32"/>
          <w:sz w:val="21"/>
          <w:szCs w:val="21"/>
          <w:lang w:val="en-GB" w:eastAsia="sv-SE"/>
        </w:rPr>
      </w:pPr>
      <w:r w:rsidRPr="003B6D48">
        <w:rPr>
          <w:rFonts w:ascii="Constantia" w:eastAsia="Times New Roman" w:hAnsi="Constantia" w:cs="Arial"/>
          <w:iCs/>
          <w:kern w:val="32"/>
          <w:sz w:val="21"/>
          <w:szCs w:val="21"/>
          <w:lang w:val="en-GB" w:eastAsia="sv-SE"/>
        </w:rPr>
        <w:t>The board of directors proposes that the annual general meeting resolves to implement Option Program 202</w:t>
      </w:r>
      <w:r w:rsidR="00AF734E" w:rsidRPr="003B6D48">
        <w:rPr>
          <w:rFonts w:ascii="Constantia" w:eastAsia="Times New Roman" w:hAnsi="Constantia" w:cs="Arial"/>
          <w:iCs/>
          <w:kern w:val="32"/>
          <w:sz w:val="21"/>
          <w:szCs w:val="21"/>
          <w:lang w:val="en-GB" w:eastAsia="sv-SE"/>
        </w:rPr>
        <w:t>2</w:t>
      </w:r>
      <w:r w:rsidRPr="003B6D48">
        <w:rPr>
          <w:rFonts w:ascii="Constantia" w:eastAsia="Times New Roman" w:hAnsi="Constantia" w:cs="Arial"/>
          <w:iCs/>
          <w:kern w:val="32"/>
          <w:sz w:val="21"/>
          <w:szCs w:val="21"/>
          <w:lang w:val="en-GB" w:eastAsia="sv-SE"/>
        </w:rPr>
        <w:t>/20</w:t>
      </w:r>
      <w:r w:rsidR="006B4BCF">
        <w:rPr>
          <w:rFonts w:ascii="Constantia" w:eastAsia="Times New Roman" w:hAnsi="Constantia" w:cs="Arial"/>
          <w:iCs/>
          <w:kern w:val="32"/>
          <w:sz w:val="21"/>
          <w:szCs w:val="21"/>
          <w:lang w:val="en-GB" w:eastAsia="sv-SE"/>
        </w:rPr>
        <w:t>32</w:t>
      </w:r>
      <w:r w:rsidRPr="003B6D48">
        <w:rPr>
          <w:rFonts w:ascii="Constantia" w:eastAsia="Times New Roman" w:hAnsi="Constantia" w:cs="Arial"/>
          <w:iCs/>
          <w:kern w:val="32"/>
          <w:sz w:val="21"/>
          <w:szCs w:val="21"/>
          <w:lang w:val="en-GB" w:eastAsia="sv-SE"/>
        </w:rPr>
        <w:t>, according to the following main principles:</w:t>
      </w:r>
    </w:p>
    <w:p w14:paraId="4FE5650A" w14:textId="018DFE19" w:rsidR="00C578EE" w:rsidRPr="003B6D48" w:rsidRDefault="009A55EB" w:rsidP="00C578EE">
      <w:pPr>
        <w:numPr>
          <w:ilvl w:val="5"/>
          <w:numId w:val="15"/>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Option Program</w:t>
      </w:r>
      <w:r w:rsidR="00EC6CC8" w:rsidRPr="003B6D48">
        <w:rPr>
          <w:rFonts w:ascii="Constantia" w:eastAsia="Calibri" w:hAnsi="Constantia" w:cs="Times New Roman"/>
          <w:sz w:val="21"/>
          <w:szCs w:val="21"/>
          <w:lang w:val="en-GB"/>
        </w:rPr>
        <w:t xml:space="preserve"> 202</w:t>
      </w:r>
      <w:r w:rsidR="00AF734E" w:rsidRPr="003B6D48">
        <w:rPr>
          <w:rFonts w:ascii="Constantia" w:eastAsia="Calibri" w:hAnsi="Constantia" w:cs="Times New Roman"/>
          <w:sz w:val="21"/>
          <w:szCs w:val="21"/>
          <w:lang w:val="en-GB"/>
        </w:rPr>
        <w:t>2</w:t>
      </w:r>
      <w:r w:rsidR="00EC6CC8"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00EC6CC8" w:rsidRPr="003B6D48">
        <w:rPr>
          <w:rFonts w:ascii="Constantia" w:eastAsia="Calibri" w:hAnsi="Constantia" w:cs="Times New Roman"/>
          <w:sz w:val="21"/>
          <w:szCs w:val="21"/>
          <w:lang w:val="en-GB"/>
        </w:rPr>
        <w:t xml:space="preserve"> shall include no more than </w:t>
      </w:r>
      <w:r w:rsidR="00A5342F" w:rsidRPr="00A5342F">
        <w:rPr>
          <w:rFonts w:ascii="Constantia" w:hAnsi="Constantia" w:cstheme="minorHAnsi"/>
          <w:color w:val="262626"/>
          <w:sz w:val="21"/>
          <w:szCs w:val="21"/>
          <w:lang w:val="en-GB"/>
        </w:rPr>
        <w:t>157,669</w:t>
      </w:r>
      <w:r w:rsidR="00A5342F">
        <w:rPr>
          <w:rFonts w:ascii="Constantia" w:hAnsi="Constantia" w:cstheme="minorHAnsi"/>
          <w:color w:val="262626"/>
          <w:sz w:val="21"/>
          <w:szCs w:val="21"/>
          <w:lang w:val="en-GB"/>
        </w:rPr>
        <w:t xml:space="preserve"> </w:t>
      </w:r>
      <w:r w:rsidR="00ED6EE3" w:rsidRPr="003B6D48">
        <w:rPr>
          <w:rFonts w:ascii="Constantia" w:eastAsia="Calibri" w:hAnsi="Constantia" w:cs="Times New Roman"/>
          <w:sz w:val="21"/>
          <w:szCs w:val="21"/>
          <w:lang w:val="en-GB"/>
        </w:rPr>
        <w:t>stock options</w:t>
      </w:r>
      <w:r w:rsidR="00EC6CC8" w:rsidRPr="003B6D48">
        <w:rPr>
          <w:rFonts w:ascii="Constantia" w:eastAsia="Calibri" w:hAnsi="Constantia" w:cs="Times New Roman"/>
          <w:sz w:val="21"/>
          <w:szCs w:val="21"/>
          <w:lang w:val="en-GB"/>
        </w:rPr>
        <w:t>.</w:t>
      </w:r>
    </w:p>
    <w:p w14:paraId="2E6221DA" w14:textId="74DD8236" w:rsidR="00C578EE" w:rsidRPr="009444C4" w:rsidRDefault="009A55EB" w:rsidP="009444C4">
      <w:pPr>
        <w:pStyle w:val="Listtyp1niv1"/>
        <w:numPr>
          <w:ilvl w:val="5"/>
          <w:numId w:val="15"/>
        </w:numPr>
        <w:rPr>
          <w:rFonts w:ascii="Constantia" w:hAnsi="Constantia" w:cs="Calibri"/>
          <w:sz w:val="21"/>
          <w:szCs w:val="21"/>
          <w:lang w:val="en-GB"/>
        </w:rPr>
      </w:pPr>
      <w:r w:rsidRPr="009444C4">
        <w:rPr>
          <w:rFonts w:ascii="Constantia" w:eastAsia="Calibri" w:hAnsi="Constantia" w:cs="Times New Roman"/>
          <w:sz w:val="21"/>
          <w:szCs w:val="21"/>
          <w:lang w:val="en-GB"/>
        </w:rPr>
        <w:t xml:space="preserve">Each </w:t>
      </w:r>
      <w:r w:rsidR="004C2A92" w:rsidRPr="009444C4">
        <w:rPr>
          <w:rFonts w:ascii="Constantia" w:eastAsia="Calibri" w:hAnsi="Constantia" w:cs="Times New Roman"/>
          <w:sz w:val="21"/>
          <w:szCs w:val="21"/>
          <w:lang w:val="en-GB"/>
        </w:rPr>
        <w:t>stock option</w:t>
      </w:r>
      <w:r w:rsidRPr="009444C4">
        <w:rPr>
          <w:rFonts w:ascii="Constantia" w:eastAsia="Calibri" w:hAnsi="Constantia" w:cs="Times New Roman"/>
          <w:sz w:val="21"/>
          <w:szCs w:val="21"/>
          <w:lang w:val="en-GB"/>
        </w:rPr>
        <w:t xml:space="preserve"> shall</w:t>
      </w:r>
      <w:r w:rsidR="00AF734E" w:rsidRPr="009444C4">
        <w:rPr>
          <w:rFonts w:ascii="Constantia" w:eastAsia="Calibri" w:hAnsi="Constantia" w:cs="Times New Roman"/>
          <w:sz w:val="21"/>
          <w:szCs w:val="21"/>
          <w:lang w:val="en-GB"/>
        </w:rPr>
        <w:t xml:space="preserve"> </w:t>
      </w:r>
      <w:r w:rsidRPr="009444C4">
        <w:rPr>
          <w:rFonts w:ascii="Constantia" w:eastAsia="Calibri" w:hAnsi="Constantia" w:cs="Times New Roman"/>
          <w:sz w:val="21"/>
          <w:szCs w:val="21"/>
          <w:lang w:val="en-GB"/>
        </w:rPr>
        <w:t xml:space="preserve">entitle the holder to subscribe for one new share in the Company at a subscription price corresponding to </w:t>
      </w:r>
      <w:r w:rsidR="009D3519">
        <w:rPr>
          <w:rFonts w:ascii="Constantia" w:eastAsia="Calibri" w:hAnsi="Constantia" w:cs="Times New Roman"/>
          <w:sz w:val="21"/>
          <w:szCs w:val="21"/>
          <w:lang w:val="en-GB"/>
        </w:rPr>
        <w:t xml:space="preserve">100 </w:t>
      </w:r>
      <w:r w:rsidRPr="009444C4">
        <w:rPr>
          <w:rFonts w:ascii="Constantia" w:hAnsi="Constantia"/>
          <w:sz w:val="21"/>
          <w:szCs w:val="21"/>
          <w:lang w:val="en-GB"/>
        </w:rPr>
        <w:t xml:space="preserve">per cent of the </w:t>
      </w:r>
      <w:r w:rsidR="009D3519">
        <w:rPr>
          <w:rFonts w:ascii="Constantia" w:hAnsi="Constantia"/>
          <w:sz w:val="21"/>
          <w:szCs w:val="21"/>
          <w:lang w:val="en-GB"/>
        </w:rPr>
        <w:t>closing price</w:t>
      </w:r>
      <w:r w:rsidRPr="009444C4">
        <w:rPr>
          <w:rFonts w:ascii="Constantia" w:hAnsi="Constantia"/>
          <w:sz w:val="21"/>
          <w:szCs w:val="21"/>
          <w:lang w:val="en-GB"/>
        </w:rPr>
        <w:t xml:space="preserve"> (rounded off to the closest </w:t>
      </w:r>
      <w:proofErr w:type="spellStart"/>
      <w:r w:rsidRPr="009444C4">
        <w:rPr>
          <w:rFonts w:ascii="Constantia" w:hAnsi="Constantia"/>
          <w:sz w:val="21"/>
          <w:szCs w:val="21"/>
          <w:lang w:val="en-GB"/>
        </w:rPr>
        <w:t>öre</w:t>
      </w:r>
      <w:proofErr w:type="spellEnd"/>
      <w:r w:rsidRPr="009444C4">
        <w:rPr>
          <w:rFonts w:ascii="Constantia" w:hAnsi="Constantia"/>
          <w:sz w:val="21"/>
          <w:szCs w:val="21"/>
          <w:lang w:val="en-GB"/>
        </w:rPr>
        <w:t xml:space="preserve"> (SEK 0.01)) for the Company’s share on Nasdaq First North</w:t>
      </w:r>
      <w:r w:rsidR="004C2A92" w:rsidRPr="009444C4">
        <w:rPr>
          <w:rFonts w:ascii="Constantia" w:hAnsi="Constantia"/>
          <w:sz w:val="21"/>
          <w:szCs w:val="21"/>
          <w:lang w:val="en-GB"/>
        </w:rPr>
        <w:t xml:space="preserve"> Growth Market</w:t>
      </w:r>
      <w:r w:rsidRPr="009444C4">
        <w:rPr>
          <w:rFonts w:ascii="Constantia" w:hAnsi="Constantia"/>
          <w:sz w:val="21"/>
          <w:szCs w:val="21"/>
          <w:lang w:val="en-GB"/>
        </w:rPr>
        <w:t xml:space="preserve"> </w:t>
      </w:r>
      <w:r w:rsidR="00671B62">
        <w:rPr>
          <w:rFonts w:ascii="Constantia" w:hAnsi="Constantia"/>
          <w:sz w:val="21"/>
          <w:szCs w:val="21"/>
          <w:lang w:val="en-GB"/>
        </w:rPr>
        <w:t xml:space="preserve">on the trading day </w:t>
      </w:r>
      <w:r w:rsidR="00AF734E" w:rsidRPr="009444C4">
        <w:rPr>
          <w:rFonts w:ascii="Constantia" w:hAnsi="Constantia"/>
          <w:sz w:val="21"/>
          <w:szCs w:val="21"/>
          <w:lang w:val="en-GB"/>
        </w:rPr>
        <w:t>prior</w:t>
      </w:r>
      <w:r w:rsidRPr="009444C4">
        <w:rPr>
          <w:rFonts w:ascii="Constantia" w:hAnsi="Constantia"/>
          <w:sz w:val="21"/>
          <w:szCs w:val="21"/>
          <w:lang w:val="en-GB"/>
        </w:rPr>
        <w:t xml:space="preserve"> </w:t>
      </w:r>
      <w:r w:rsidR="008C4D4B">
        <w:rPr>
          <w:rFonts w:ascii="Constantia" w:hAnsi="Constantia"/>
          <w:sz w:val="21"/>
          <w:szCs w:val="21"/>
          <w:lang w:val="en-GB"/>
        </w:rPr>
        <w:t xml:space="preserve">to </w:t>
      </w:r>
      <w:r w:rsidRPr="009444C4">
        <w:rPr>
          <w:rFonts w:ascii="Constantia" w:hAnsi="Constantia"/>
          <w:sz w:val="21"/>
          <w:szCs w:val="21"/>
          <w:lang w:val="en-GB"/>
        </w:rPr>
        <w:t xml:space="preserve">the </w:t>
      </w:r>
      <w:r w:rsidR="009D3519">
        <w:rPr>
          <w:rFonts w:ascii="Constantia" w:hAnsi="Constantia"/>
          <w:sz w:val="21"/>
          <w:szCs w:val="21"/>
          <w:lang w:val="en-GB"/>
        </w:rPr>
        <w:t xml:space="preserve">grant </w:t>
      </w:r>
      <w:r w:rsidRPr="009444C4">
        <w:rPr>
          <w:rFonts w:ascii="Constantia" w:hAnsi="Constantia"/>
          <w:sz w:val="21"/>
          <w:szCs w:val="21"/>
          <w:lang w:val="en-GB"/>
        </w:rPr>
        <w:t xml:space="preserve">of </w:t>
      </w:r>
      <w:r w:rsidR="00AF734E" w:rsidRPr="009444C4">
        <w:rPr>
          <w:rFonts w:ascii="Constantia" w:hAnsi="Constantia"/>
          <w:sz w:val="21"/>
          <w:szCs w:val="21"/>
          <w:lang w:val="en-GB"/>
        </w:rPr>
        <w:t>the</w:t>
      </w:r>
      <w:r w:rsidR="009D3519">
        <w:rPr>
          <w:rFonts w:ascii="Constantia" w:hAnsi="Constantia"/>
          <w:sz w:val="21"/>
          <w:szCs w:val="21"/>
          <w:lang w:val="en-GB"/>
        </w:rPr>
        <w:t xml:space="preserve"> stock options</w:t>
      </w:r>
      <w:r w:rsidR="008513FE">
        <w:rPr>
          <w:rFonts w:ascii="Constantia" w:hAnsi="Constantia"/>
          <w:sz w:val="21"/>
          <w:szCs w:val="21"/>
          <w:lang w:val="en-GB"/>
        </w:rPr>
        <w:t xml:space="preserve"> </w:t>
      </w:r>
      <w:r w:rsidR="00F24388">
        <w:rPr>
          <w:rFonts w:ascii="Constantia" w:hAnsi="Constantia"/>
          <w:sz w:val="21"/>
          <w:szCs w:val="21"/>
          <w:lang w:val="en-GB"/>
        </w:rPr>
        <w:t xml:space="preserve">of series </w:t>
      </w:r>
      <w:r w:rsidR="008513FE">
        <w:rPr>
          <w:rFonts w:ascii="Constantia" w:hAnsi="Constantia"/>
          <w:sz w:val="21"/>
          <w:szCs w:val="21"/>
          <w:lang w:val="en-GB"/>
        </w:rPr>
        <w:t>2022/2032</w:t>
      </w:r>
      <w:r w:rsidRPr="009444C4">
        <w:rPr>
          <w:rFonts w:ascii="Constantia" w:hAnsi="Constantia"/>
          <w:sz w:val="21"/>
          <w:szCs w:val="21"/>
          <w:lang w:val="en-GB"/>
        </w:rPr>
        <w:t xml:space="preserve">. The </w:t>
      </w:r>
      <w:r w:rsidR="008F4568">
        <w:rPr>
          <w:rFonts w:ascii="Constantia" w:hAnsi="Constantia"/>
          <w:sz w:val="21"/>
          <w:szCs w:val="21"/>
          <w:lang w:val="en-GB"/>
        </w:rPr>
        <w:t>exercise</w:t>
      </w:r>
      <w:r w:rsidRPr="009444C4">
        <w:rPr>
          <w:rFonts w:ascii="Constantia" w:hAnsi="Constantia"/>
          <w:sz w:val="21"/>
          <w:szCs w:val="21"/>
          <w:lang w:val="en-GB"/>
        </w:rPr>
        <w:t xml:space="preserve"> price and the number of shares for which each </w:t>
      </w:r>
      <w:r w:rsidR="004C2A92" w:rsidRPr="009444C4">
        <w:rPr>
          <w:rFonts w:ascii="Constantia" w:hAnsi="Constantia"/>
          <w:sz w:val="21"/>
          <w:szCs w:val="21"/>
          <w:lang w:val="en-GB"/>
        </w:rPr>
        <w:t xml:space="preserve">stock option </w:t>
      </w:r>
      <w:r w:rsidRPr="009444C4">
        <w:rPr>
          <w:rFonts w:ascii="Constantia" w:hAnsi="Constantia"/>
          <w:sz w:val="21"/>
          <w:szCs w:val="21"/>
          <w:lang w:val="en-GB"/>
        </w:rPr>
        <w:t>entitles the holder to subscribe may be subject to recalculation pursuant to a bonus issue, share split, new issue with preferential rights and similar measures, whereby conventional terms and conditions for recalculation shall be applied.</w:t>
      </w:r>
    </w:p>
    <w:p w14:paraId="05B96D48" w14:textId="6FB894E1" w:rsidR="00C578EE" w:rsidRPr="00A5342F" w:rsidRDefault="009A55EB" w:rsidP="00C578EE">
      <w:pPr>
        <w:numPr>
          <w:ilvl w:val="5"/>
          <w:numId w:val="15"/>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Option Program</w:t>
      </w:r>
      <w:r w:rsidR="00EC6CC8" w:rsidRPr="003B6D48">
        <w:rPr>
          <w:rFonts w:ascii="Constantia" w:eastAsia="Calibri" w:hAnsi="Constantia" w:cs="Times New Roman"/>
          <w:sz w:val="21"/>
          <w:szCs w:val="21"/>
          <w:lang w:val="en-GB"/>
        </w:rPr>
        <w:t xml:space="preserve"> 202</w:t>
      </w:r>
      <w:r w:rsidR="00AF734E" w:rsidRPr="003B6D48">
        <w:rPr>
          <w:rFonts w:ascii="Constantia" w:eastAsia="Calibri" w:hAnsi="Constantia" w:cs="Times New Roman"/>
          <w:sz w:val="21"/>
          <w:szCs w:val="21"/>
          <w:lang w:val="en-GB"/>
        </w:rPr>
        <w:t>2</w:t>
      </w:r>
      <w:r w:rsidR="00EC6CC8"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00EC6CC8" w:rsidRPr="003B6D48">
        <w:rPr>
          <w:rFonts w:ascii="Constantia" w:eastAsia="Calibri" w:hAnsi="Constantia" w:cs="Times New Roman"/>
          <w:sz w:val="21"/>
          <w:szCs w:val="21"/>
          <w:lang w:val="en-GB"/>
        </w:rPr>
        <w:t xml:space="preserve"> participants shall comprise certain employees of the Company </w:t>
      </w:r>
      <w:r w:rsidR="00EC6CC8" w:rsidRPr="00A5342F">
        <w:rPr>
          <w:rFonts w:ascii="Constantia" w:eastAsia="Calibri" w:hAnsi="Constantia" w:cs="Times New Roman"/>
          <w:sz w:val="21"/>
          <w:szCs w:val="21"/>
          <w:lang w:val="en-GB"/>
        </w:rPr>
        <w:t>and its subsidiar</w:t>
      </w:r>
      <w:r w:rsidR="00276199" w:rsidRPr="00A5342F">
        <w:rPr>
          <w:rFonts w:ascii="Constantia" w:eastAsia="Calibri" w:hAnsi="Constantia" w:cs="Times New Roman"/>
          <w:sz w:val="21"/>
          <w:szCs w:val="21"/>
          <w:lang w:val="en-GB"/>
        </w:rPr>
        <w:t>y</w:t>
      </w:r>
      <w:r w:rsidR="00EC6CC8" w:rsidRPr="00A5342F">
        <w:rPr>
          <w:rFonts w:ascii="Constantia" w:eastAsia="Calibri" w:hAnsi="Constantia" w:cs="Times New Roman"/>
          <w:sz w:val="21"/>
          <w:szCs w:val="21"/>
          <w:lang w:val="en-GB"/>
        </w:rPr>
        <w:t>.</w:t>
      </w:r>
    </w:p>
    <w:p w14:paraId="35A228C4" w14:textId="3F59BDF4" w:rsidR="00C578EE" w:rsidRPr="00A5342F" w:rsidRDefault="004C2A92" w:rsidP="00C578EE">
      <w:pPr>
        <w:numPr>
          <w:ilvl w:val="5"/>
          <w:numId w:val="15"/>
        </w:numPr>
        <w:rPr>
          <w:rFonts w:ascii="Constantia" w:eastAsia="Calibri" w:hAnsi="Constantia" w:cs="Times New Roman"/>
          <w:sz w:val="21"/>
          <w:szCs w:val="21"/>
          <w:lang w:val="en-GB"/>
        </w:rPr>
      </w:pPr>
      <w:r w:rsidRPr="00A5342F">
        <w:rPr>
          <w:rFonts w:ascii="Constantia" w:eastAsia="Calibri" w:hAnsi="Constantia" w:cs="Times New Roman"/>
          <w:sz w:val="21"/>
          <w:szCs w:val="21"/>
          <w:lang w:val="en-GB"/>
        </w:rPr>
        <w:t>Stock options</w:t>
      </w:r>
      <w:r w:rsidR="00EC6CC8" w:rsidRPr="00A5342F">
        <w:rPr>
          <w:rFonts w:ascii="Constantia" w:eastAsia="Calibri" w:hAnsi="Constantia" w:cs="Times New Roman"/>
          <w:sz w:val="21"/>
          <w:szCs w:val="21"/>
          <w:lang w:val="en-GB"/>
        </w:rPr>
        <w:t xml:space="preserve"> </w:t>
      </w:r>
      <w:r w:rsidRPr="00A5342F">
        <w:rPr>
          <w:rFonts w:ascii="Constantia" w:eastAsia="Calibri" w:hAnsi="Constantia" w:cs="Times New Roman"/>
          <w:sz w:val="21"/>
          <w:szCs w:val="21"/>
          <w:lang w:val="en-GB"/>
        </w:rPr>
        <w:t xml:space="preserve">will </w:t>
      </w:r>
      <w:r w:rsidR="00EC6CC8" w:rsidRPr="00A5342F">
        <w:rPr>
          <w:rFonts w:ascii="Constantia" w:eastAsia="Calibri" w:hAnsi="Constantia" w:cs="Times New Roman"/>
          <w:sz w:val="21"/>
          <w:szCs w:val="21"/>
          <w:lang w:val="en-GB"/>
        </w:rPr>
        <w:t>be distributed in accordance with the following allotment categories</w:t>
      </w:r>
      <w:r w:rsidR="005F6AE5" w:rsidRPr="00A5342F">
        <w:rPr>
          <w:rFonts w:ascii="Constantia" w:eastAsia="Calibri" w:hAnsi="Constantia" w:cs="Times New Roman"/>
          <w:sz w:val="21"/>
          <w:szCs w:val="21"/>
          <w:lang w:val="en-GB"/>
        </w:rPr>
        <w:t xml:space="preserve"> (none of which have a minimum guaranteed allotment)</w:t>
      </w:r>
      <w:r w:rsidR="00EC6CC8" w:rsidRPr="00A5342F">
        <w:rPr>
          <w:rFonts w:ascii="Constantia" w:eastAsia="Calibri" w:hAnsi="Constantia" w:cs="Times New Roman"/>
          <w:sz w:val="21"/>
          <w:szCs w:val="21"/>
          <w:lang w:val="en-GB"/>
        </w:rPr>
        <w:t>:</w:t>
      </w:r>
    </w:p>
    <w:p w14:paraId="2902B73A" w14:textId="522E6689" w:rsidR="005F6AE5" w:rsidRPr="00A5342F" w:rsidRDefault="00A5342F" w:rsidP="00C578EE">
      <w:pPr>
        <w:pStyle w:val="Listtyp1niv2"/>
        <w:numPr>
          <w:ilvl w:val="6"/>
          <w:numId w:val="15"/>
        </w:numPr>
        <w:rPr>
          <w:rFonts w:ascii="Constantia" w:eastAsia="Calibri" w:hAnsi="Constantia" w:cs="Times New Roman"/>
          <w:sz w:val="21"/>
          <w:szCs w:val="21"/>
          <w:lang w:val="en-GB"/>
        </w:rPr>
      </w:pPr>
      <w:r w:rsidRPr="00A5342F">
        <w:rPr>
          <w:rFonts w:ascii="Constantia" w:eastAsia="Calibri" w:hAnsi="Constantia" w:cs="Times New Roman"/>
          <w:sz w:val="21"/>
          <w:szCs w:val="21"/>
          <w:lang w:val="en-GB"/>
        </w:rPr>
        <w:lastRenderedPageBreak/>
        <w:t>senior management and other key employees</w:t>
      </w:r>
      <w:r w:rsidR="009A55EB" w:rsidRPr="00A5342F">
        <w:rPr>
          <w:rFonts w:ascii="Constantia" w:eastAsia="Calibri" w:hAnsi="Constantia" w:cs="Times New Roman"/>
          <w:sz w:val="21"/>
          <w:szCs w:val="21"/>
          <w:lang w:val="en-GB"/>
        </w:rPr>
        <w:t xml:space="preserve">: </w:t>
      </w:r>
      <w:r w:rsidRPr="00A5342F">
        <w:rPr>
          <w:rFonts w:ascii="Constantia" w:eastAsia="Calibri" w:hAnsi="Constantia" w:cs="Times New Roman"/>
          <w:sz w:val="21"/>
          <w:szCs w:val="21"/>
          <w:lang w:val="en-GB"/>
        </w:rPr>
        <w:t xml:space="preserve">not more than 5 persons and not more than </w:t>
      </w:r>
      <w:r w:rsidR="00FE6AF7" w:rsidRPr="00FE6AF7">
        <w:rPr>
          <w:rFonts w:ascii="Constantia" w:eastAsia="Calibri" w:hAnsi="Constantia" w:cs="Times New Roman"/>
          <w:sz w:val="21"/>
          <w:szCs w:val="21"/>
          <w:lang w:val="en-GB"/>
        </w:rPr>
        <w:t>11</w:t>
      </w:r>
      <w:r w:rsidR="00FE6AF7">
        <w:rPr>
          <w:rFonts w:ascii="Constantia" w:eastAsia="Calibri" w:hAnsi="Constantia" w:cs="Times New Roman"/>
          <w:sz w:val="21"/>
          <w:szCs w:val="21"/>
          <w:lang w:val="en-GB"/>
        </w:rPr>
        <w:t>,</w:t>
      </w:r>
      <w:r w:rsidR="00FE6AF7" w:rsidRPr="00FE6AF7">
        <w:rPr>
          <w:rFonts w:ascii="Constantia" w:eastAsia="Calibri" w:hAnsi="Constantia" w:cs="Times New Roman"/>
          <w:sz w:val="21"/>
          <w:szCs w:val="21"/>
          <w:lang w:val="en-GB"/>
        </w:rPr>
        <w:t xml:space="preserve">425 </w:t>
      </w:r>
      <w:r w:rsidRPr="00A5342F">
        <w:rPr>
          <w:rFonts w:ascii="Constantia" w:eastAsia="Calibri" w:hAnsi="Constantia" w:cs="Times New Roman"/>
          <w:sz w:val="21"/>
          <w:szCs w:val="21"/>
          <w:lang w:val="en-GB"/>
        </w:rPr>
        <w:t xml:space="preserve">stock options per </w:t>
      </w:r>
      <w:proofErr w:type="gramStart"/>
      <w:r w:rsidRPr="00A5342F">
        <w:rPr>
          <w:rFonts w:ascii="Constantia" w:eastAsia="Calibri" w:hAnsi="Constantia" w:cs="Times New Roman"/>
          <w:sz w:val="21"/>
          <w:szCs w:val="21"/>
          <w:lang w:val="en-GB"/>
        </w:rPr>
        <w:t>person</w:t>
      </w:r>
      <w:r w:rsidR="009A55EB" w:rsidRPr="00A5342F">
        <w:rPr>
          <w:rFonts w:ascii="Constantia" w:eastAsia="Calibri" w:hAnsi="Constantia" w:cs="Times New Roman"/>
          <w:sz w:val="21"/>
          <w:szCs w:val="21"/>
          <w:lang w:val="en-GB"/>
        </w:rPr>
        <w:t>;</w:t>
      </w:r>
      <w:proofErr w:type="gramEnd"/>
    </w:p>
    <w:p w14:paraId="683C059C" w14:textId="57ACB29A" w:rsidR="00C578EE" w:rsidRPr="00A5342F" w:rsidRDefault="00CA7902" w:rsidP="00C578EE">
      <w:pPr>
        <w:pStyle w:val="Listtyp1niv2"/>
        <w:numPr>
          <w:ilvl w:val="6"/>
          <w:numId w:val="15"/>
        </w:numPr>
        <w:rPr>
          <w:rFonts w:ascii="Constantia" w:eastAsia="Calibri" w:hAnsi="Constantia" w:cs="Times New Roman"/>
          <w:sz w:val="21"/>
          <w:szCs w:val="21"/>
          <w:lang w:val="en-GB"/>
        </w:rPr>
      </w:pPr>
      <w:r>
        <w:rPr>
          <w:rFonts w:ascii="Constantia" w:eastAsia="Calibri" w:hAnsi="Constantia" w:cs="Times New Roman"/>
          <w:sz w:val="21"/>
          <w:szCs w:val="21"/>
          <w:lang w:val="en-GB"/>
        </w:rPr>
        <w:t xml:space="preserve">certain </w:t>
      </w:r>
      <w:r w:rsidR="00A5342F" w:rsidRPr="00A5342F">
        <w:rPr>
          <w:rFonts w:ascii="Constantia" w:eastAsia="Calibri" w:hAnsi="Constantia" w:cs="Times New Roman"/>
          <w:sz w:val="21"/>
          <w:szCs w:val="21"/>
          <w:lang w:val="en-GB"/>
        </w:rPr>
        <w:t xml:space="preserve">other employees who have been employed by the Wyld Networks group for at least a year without interruption at the time of </w:t>
      </w:r>
      <w:r>
        <w:rPr>
          <w:rFonts w:ascii="Constantia" w:eastAsia="Calibri" w:hAnsi="Constantia" w:cs="Times New Roman"/>
          <w:sz w:val="21"/>
          <w:szCs w:val="21"/>
          <w:lang w:val="en-GB"/>
        </w:rPr>
        <w:t>grant</w:t>
      </w:r>
      <w:r w:rsidR="009A55EB" w:rsidRPr="00A5342F">
        <w:rPr>
          <w:rFonts w:ascii="Constantia" w:eastAsia="Calibri" w:hAnsi="Constantia" w:cs="Times New Roman"/>
          <w:sz w:val="21"/>
          <w:szCs w:val="21"/>
          <w:lang w:val="en-GB"/>
        </w:rPr>
        <w:t>: not more than</w:t>
      </w:r>
      <w:r w:rsidR="00455F29" w:rsidRPr="00A5342F">
        <w:rPr>
          <w:rFonts w:ascii="Constantia" w:eastAsia="Calibri" w:hAnsi="Constantia" w:cs="Times New Roman"/>
          <w:sz w:val="21"/>
          <w:szCs w:val="21"/>
          <w:lang w:val="en-GB"/>
        </w:rPr>
        <w:t xml:space="preserve"> </w:t>
      </w:r>
      <w:r w:rsidR="00A5342F" w:rsidRPr="00A5342F">
        <w:rPr>
          <w:rFonts w:ascii="Constantia" w:eastAsia="Calibri" w:hAnsi="Constantia" w:cs="Times New Roman"/>
          <w:sz w:val="21"/>
          <w:szCs w:val="21"/>
          <w:lang w:val="en-GB"/>
        </w:rPr>
        <w:t>9</w:t>
      </w:r>
      <w:r w:rsidR="00455F29" w:rsidRPr="00A5342F">
        <w:rPr>
          <w:rFonts w:ascii="Constantia" w:eastAsia="Calibri" w:hAnsi="Constantia" w:cs="Times New Roman"/>
          <w:sz w:val="21"/>
          <w:szCs w:val="21"/>
          <w:lang w:val="en-GB"/>
        </w:rPr>
        <w:t xml:space="preserve"> persons and not more than</w:t>
      </w:r>
      <w:r w:rsidR="00AF734E" w:rsidRPr="00A5342F">
        <w:rPr>
          <w:rFonts w:ascii="Constantia" w:eastAsia="Calibri" w:hAnsi="Constantia" w:cs="Times New Roman"/>
          <w:sz w:val="21"/>
          <w:szCs w:val="21"/>
          <w:lang w:val="en-GB"/>
        </w:rPr>
        <w:t xml:space="preserve"> </w:t>
      </w:r>
      <w:r w:rsidR="004E41F1">
        <w:rPr>
          <w:rFonts w:ascii="Constantia" w:eastAsia="Calibri" w:hAnsi="Constantia" w:cs="Times New Roman"/>
          <w:sz w:val="20"/>
          <w:szCs w:val="20"/>
          <w:lang w:val="en-GB"/>
        </w:rPr>
        <w:t>9,140</w:t>
      </w:r>
      <w:r w:rsidR="004E41F1" w:rsidRPr="00D41C18">
        <w:rPr>
          <w:rFonts w:ascii="Constantia" w:eastAsia="Calibri" w:hAnsi="Constantia" w:cs="Times New Roman"/>
          <w:sz w:val="20"/>
          <w:szCs w:val="20"/>
          <w:lang w:val="en-GB"/>
        </w:rPr>
        <w:t xml:space="preserve"> </w:t>
      </w:r>
      <w:r w:rsidR="009A55EB" w:rsidRPr="00A5342F">
        <w:rPr>
          <w:rFonts w:ascii="Constantia" w:eastAsia="Calibri" w:hAnsi="Constantia" w:cs="Times New Roman"/>
          <w:sz w:val="21"/>
          <w:szCs w:val="21"/>
          <w:lang w:val="en-GB"/>
        </w:rPr>
        <w:t>stock options</w:t>
      </w:r>
      <w:r w:rsidR="00455F29" w:rsidRPr="00A5342F">
        <w:rPr>
          <w:rFonts w:ascii="Constantia" w:eastAsia="Calibri" w:hAnsi="Constantia" w:cs="Times New Roman"/>
          <w:sz w:val="21"/>
          <w:szCs w:val="21"/>
          <w:lang w:val="en-GB"/>
        </w:rPr>
        <w:t xml:space="preserve"> per person</w:t>
      </w:r>
      <w:r w:rsidR="009A55EB" w:rsidRPr="00A5342F">
        <w:rPr>
          <w:rFonts w:ascii="Constantia" w:eastAsia="Calibri" w:hAnsi="Constantia" w:cs="Times New Roman"/>
          <w:sz w:val="21"/>
          <w:szCs w:val="21"/>
          <w:lang w:val="en-GB"/>
        </w:rPr>
        <w:t xml:space="preserve">; </w:t>
      </w:r>
      <w:r w:rsidR="00EC6CC8" w:rsidRPr="00A5342F">
        <w:rPr>
          <w:rFonts w:ascii="Constantia" w:eastAsia="Calibri" w:hAnsi="Constantia" w:cs="Times New Roman"/>
          <w:sz w:val="21"/>
          <w:szCs w:val="21"/>
          <w:lang w:val="en-GB"/>
        </w:rPr>
        <w:t>and</w:t>
      </w:r>
    </w:p>
    <w:p w14:paraId="61B00DD5" w14:textId="6C3055A5" w:rsidR="00C578EE" w:rsidRPr="00A5342F" w:rsidRDefault="00CA7902" w:rsidP="00C578EE">
      <w:pPr>
        <w:pStyle w:val="Listtyp1niv2"/>
        <w:numPr>
          <w:ilvl w:val="6"/>
          <w:numId w:val="15"/>
        </w:numPr>
        <w:rPr>
          <w:rFonts w:ascii="Constantia" w:hAnsi="Constantia"/>
          <w:sz w:val="21"/>
          <w:szCs w:val="21"/>
          <w:lang w:val="en-GB"/>
        </w:rPr>
      </w:pPr>
      <w:r>
        <w:rPr>
          <w:rFonts w:ascii="Constantia" w:eastAsia="Calibri" w:hAnsi="Constantia" w:cs="Times New Roman"/>
          <w:sz w:val="21"/>
          <w:szCs w:val="21"/>
          <w:lang w:val="en-GB"/>
        </w:rPr>
        <w:t xml:space="preserve">certain </w:t>
      </w:r>
      <w:r w:rsidR="00A5342F" w:rsidRPr="00A5342F">
        <w:rPr>
          <w:rFonts w:ascii="Constantia" w:eastAsia="Calibri" w:hAnsi="Constantia" w:cs="Times New Roman"/>
          <w:sz w:val="21"/>
          <w:szCs w:val="21"/>
          <w:lang w:val="en-GB"/>
        </w:rPr>
        <w:t xml:space="preserve">other employees who have been employed by the Wyld Networks group for less than a year at the time of </w:t>
      </w:r>
      <w:r>
        <w:rPr>
          <w:rFonts w:ascii="Constantia" w:eastAsia="Calibri" w:hAnsi="Constantia" w:cs="Times New Roman"/>
          <w:sz w:val="21"/>
          <w:szCs w:val="21"/>
          <w:lang w:val="en-GB"/>
        </w:rPr>
        <w:t>grant</w:t>
      </w:r>
      <w:r w:rsidR="009A55EB" w:rsidRPr="00A5342F">
        <w:rPr>
          <w:rFonts w:ascii="Constantia" w:hAnsi="Constantia"/>
          <w:sz w:val="21"/>
          <w:szCs w:val="21"/>
          <w:lang w:val="en-GB"/>
        </w:rPr>
        <w:t xml:space="preserve">: not more than </w:t>
      </w:r>
      <w:r w:rsidR="00A5342F" w:rsidRPr="00A5342F">
        <w:rPr>
          <w:rFonts w:ascii="Constantia" w:hAnsi="Constantia"/>
          <w:sz w:val="21"/>
          <w:szCs w:val="21"/>
          <w:lang w:val="en-GB"/>
        </w:rPr>
        <w:t>4</w:t>
      </w:r>
      <w:r w:rsidR="00455F29" w:rsidRPr="00A5342F">
        <w:rPr>
          <w:rFonts w:ascii="Constantia" w:hAnsi="Constantia"/>
          <w:sz w:val="21"/>
          <w:szCs w:val="21"/>
          <w:lang w:val="en-GB"/>
        </w:rPr>
        <w:t xml:space="preserve"> persons and not more than </w:t>
      </w:r>
      <w:r w:rsidR="004E41F1" w:rsidRPr="00FE6AF7">
        <w:rPr>
          <w:rFonts w:ascii="Constantia" w:eastAsia="Calibri" w:hAnsi="Constantia" w:cs="Times New Roman"/>
          <w:sz w:val="21"/>
          <w:szCs w:val="21"/>
          <w:lang w:val="en-GB"/>
        </w:rPr>
        <w:t>4</w:t>
      </w:r>
      <w:r w:rsidR="004E41F1">
        <w:rPr>
          <w:rFonts w:ascii="Constantia" w:eastAsia="Calibri" w:hAnsi="Constantia" w:cs="Times New Roman"/>
          <w:sz w:val="21"/>
          <w:szCs w:val="21"/>
          <w:lang w:val="en-GB"/>
        </w:rPr>
        <w:t>,</w:t>
      </w:r>
      <w:r w:rsidR="004E41F1" w:rsidRPr="00FE6AF7">
        <w:rPr>
          <w:rFonts w:ascii="Constantia" w:eastAsia="Calibri" w:hAnsi="Constantia" w:cs="Times New Roman"/>
          <w:sz w:val="21"/>
          <w:szCs w:val="21"/>
          <w:lang w:val="en-GB"/>
        </w:rPr>
        <w:t xml:space="preserve">570 </w:t>
      </w:r>
      <w:r w:rsidR="004C2A92" w:rsidRPr="00A5342F">
        <w:rPr>
          <w:rFonts w:ascii="Constantia" w:hAnsi="Constantia"/>
          <w:sz w:val="21"/>
          <w:szCs w:val="21"/>
          <w:lang w:val="en-GB"/>
        </w:rPr>
        <w:t xml:space="preserve">stock options </w:t>
      </w:r>
      <w:r w:rsidR="009A55EB" w:rsidRPr="00A5342F">
        <w:rPr>
          <w:rFonts w:ascii="Constantia" w:hAnsi="Constantia"/>
          <w:sz w:val="21"/>
          <w:szCs w:val="21"/>
          <w:lang w:val="en-GB"/>
        </w:rPr>
        <w:t>per person.</w:t>
      </w:r>
    </w:p>
    <w:p w14:paraId="3A0F8E41" w14:textId="77777777" w:rsidR="00C578EE" w:rsidRPr="00C41FC2" w:rsidRDefault="009A55EB" w:rsidP="00C578EE">
      <w:pPr>
        <w:numPr>
          <w:ilvl w:val="5"/>
          <w:numId w:val="15"/>
        </w:numPr>
        <w:rPr>
          <w:rFonts w:ascii="Constantia" w:eastAsia="Calibri" w:hAnsi="Constantia" w:cs="Times New Roman"/>
          <w:sz w:val="21"/>
          <w:szCs w:val="21"/>
          <w:lang w:val="en-GB"/>
        </w:rPr>
      </w:pPr>
      <w:r w:rsidRPr="00C41FC2">
        <w:rPr>
          <w:rFonts w:ascii="Constantia" w:eastAsia="Calibri" w:hAnsi="Constantia" w:cs="Times New Roman"/>
          <w:sz w:val="21"/>
          <w:szCs w:val="21"/>
          <w:lang w:val="en-GB"/>
        </w:rPr>
        <w:t>Allotted</w:t>
      </w:r>
      <w:r w:rsidR="004C2A92" w:rsidRPr="00C41FC2">
        <w:rPr>
          <w:rFonts w:ascii="Constantia" w:eastAsia="Calibri" w:hAnsi="Constantia" w:cs="Times New Roman"/>
          <w:sz w:val="21"/>
          <w:szCs w:val="21"/>
          <w:lang w:val="en-GB"/>
        </w:rPr>
        <w:t xml:space="preserve"> stock options</w:t>
      </w:r>
      <w:r w:rsidRPr="00C41FC2">
        <w:rPr>
          <w:rFonts w:ascii="Constantia" w:eastAsia="Calibri" w:hAnsi="Constantia" w:cs="Times New Roman"/>
          <w:sz w:val="21"/>
          <w:szCs w:val="21"/>
          <w:lang w:val="en-GB"/>
        </w:rPr>
        <w:t xml:space="preserve"> shall be offered </w:t>
      </w:r>
      <w:r w:rsidR="005578D2" w:rsidRPr="00C41FC2">
        <w:rPr>
          <w:rFonts w:ascii="Constantia" w:eastAsia="Calibri" w:hAnsi="Constantia" w:cs="Times New Roman"/>
          <w:sz w:val="21"/>
          <w:szCs w:val="21"/>
          <w:lang w:val="en-GB"/>
        </w:rPr>
        <w:t xml:space="preserve">free </w:t>
      </w:r>
      <w:r w:rsidR="000D0F73" w:rsidRPr="00C41FC2">
        <w:rPr>
          <w:rFonts w:ascii="Constantia" w:eastAsia="Calibri" w:hAnsi="Constantia" w:cs="Times New Roman"/>
          <w:sz w:val="21"/>
          <w:szCs w:val="21"/>
          <w:lang w:val="en-GB"/>
        </w:rPr>
        <w:t>of</w:t>
      </w:r>
      <w:r w:rsidR="005578D2" w:rsidRPr="00C41FC2">
        <w:rPr>
          <w:rFonts w:ascii="Constantia" w:eastAsia="Calibri" w:hAnsi="Constantia" w:cs="Times New Roman"/>
          <w:sz w:val="21"/>
          <w:szCs w:val="21"/>
          <w:lang w:val="en-GB"/>
        </w:rPr>
        <w:t xml:space="preserve"> charge</w:t>
      </w:r>
      <w:r w:rsidRPr="00C41FC2">
        <w:rPr>
          <w:rFonts w:ascii="Constantia" w:eastAsia="Calibri" w:hAnsi="Constantia" w:cs="Times New Roman"/>
          <w:sz w:val="21"/>
          <w:szCs w:val="21"/>
          <w:lang w:val="en-GB"/>
        </w:rPr>
        <w:t>. Such offer shall be made within 10</w:t>
      </w:r>
      <w:r w:rsidR="00510E71" w:rsidRPr="00C41FC2">
        <w:rPr>
          <w:rFonts w:ascii="Constantia" w:eastAsia="Calibri" w:hAnsi="Constantia" w:cs="Times New Roman"/>
          <w:sz w:val="21"/>
          <w:szCs w:val="21"/>
          <w:lang w:val="en-GB"/>
        </w:rPr>
        <w:t> </w:t>
      </w:r>
      <w:r w:rsidRPr="00C41FC2">
        <w:rPr>
          <w:rFonts w:ascii="Constantia" w:eastAsia="Calibri" w:hAnsi="Constantia" w:cs="Times New Roman"/>
          <w:sz w:val="21"/>
          <w:szCs w:val="21"/>
          <w:lang w:val="en-GB"/>
        </w:rPr>
        <w:t xml:space="preserve">banking days from the date the resolution on allotment is made. </w:t>
      </w:r>
      <w:r w:rsidR="000C6149" w:rsidRPr="00C41FC2">
        <w:rPr>
          <w:rFonts w:ascii="Constantia" w:eastAsia="Calibri" w:hAnsi="Constantia" w:cs="Times New Roman"/>
          <w:sz w:val="21"/>
          <w:szCs w:val="21"/>
          <w:lang w:val="en-GB"/>
        </w:rPr>
        <w:t>Over-allocation may not occur.</w:t>
      </w:r>
    </w:p>
    <w:p w14:paraId="01D12058" w14:textId="4A71D92C" w:rsidR="00D520B0" w:rsidRPr="00B8571F" w:rsidRDefault="009A55EB" w:rsidP="00D520B0">
      <w:pPr>
        <w:numPr>
          <w:ilvl w:val="5"/>
          <w:numId w:val="15"/>
        </w:numPr>
        <w:rPr>
          <w:rFonts w:ascii="Constantia" w:eastAsia="Calibri" w:hAnsi="Constantia" w:cs="Times New Roman"/>
          <w:sz w:val="21"/>
          <w:szCs w:val="21"/>
          <w:lang w:val="en-GB"/>
        </w:rPr>
      </w:pPr>
      <w:bookmarkStart w:id="0" w:name="_Hlk68020056"/>
      <w:r w:rsidRPr="003B0B4D">
        <w:rPr>
          <w:rFonts w:ascii="Constantia" w:eastAsia="Calibri" w:hAnsi="Constantia" w:cs="Times New Roman"/>
          <w:sz w:val="21"/>
          <w:szCs w:val="21"/>
          <w:lang w:val="en-GB"/>
        </w:rPr>
        <w:t xml:space="preserve">Stock options </w:t>
      </w:r>
      <w:r w:rsidR="00ED4FAE">
        <w:rPr>
          <w:rFonts w:ascii="Constantia" w:eastAsia="Calibri" w:hAnsi="Constantia" w:cs="Times New Roman"/>
          <w:sz w:val="21"/>
          <w:szCs w:val="21"/>
          <w:lang w:val="en-GB"/>
        </w:rPr>
        <w:t xml:space="preserve">of series 2022/2032 </w:t>
      </w:r>
      <w:r w:rsidR="00A605C0" w:rsidRPr="003B0B4D">
        <w:rPr>
          <w:rFonts w:ascii="Constantia" w:eastAsia="Calibri" w:hAnsi="Constantia" w:cs="Times New Roman"/>
          <w:sz w:val="21"/>
          <w:szCs w:val="21"/>
          <w:lang w:val="en-GB"/>
        </w:rPr>
        <w:t>granted</w:t>
      </w:r>
      <w:r w:rsidR="00EC6CC8" w:rsidRPr="003B0B4D">
        <w:rPr>
          <w:rFonts w:ascii="Constantia" w:eastAsia="Calibri" w:hAnsi="Constantia" w:cs="Times New Roman"/>
          <w:sz w:val="21"/>
          <w:szCs w:val="21"/>
          <w:lang w:val="en-GB"/>
        </w:rPr>
        <w:t xml:space="preserve"> may be exercised by the holder</w:t>
      </w:r>
      <w:bookmarkStart w:id="1" w:name="_Ref62644094"/>
      <w:r w:rsidR="00AF734E" w:rsidRPr="003B0B4D">
        <w:rPr>
          <w:rFonts w:ascii="Constantia" w:eastAsia="Calibri" w:hAnsi="Constantia" w:cs="Times New Roman"/>
          <w:sz w:val="21"/>
          <w:szCs w:val="21"/>
          <w:lang w:val="en-GB"/>
        </w:rPr>
        <w:t xml:space="preserve"> </w:t>
      </w:r>
      <w:r w:rsidR="007074DB" w:rsidRPr="003B0B4D">
        <w:rPr>
          <w:rFonts w:ascii="Constantia" w:eastAsia="Calibri" w:hAnsi="Constantia" w:cs="Times New Roman"/>
          <w:sz w:val="21"/>
          <w:szCs w:val="21"/>
          <w:lang w:val="en-GB"/>
        </w:rPr>
        <w:t xml:space="preserve">during the period </w:t>
      </w:r>
      <w:r w:rsidR="00AF734E" w:rsidRPr="0071307F">
        <w:rPr>
          <w:rFonts w:ascii="Constantia" w:eastAsia="Calibri" w:hAnsi="Constantia" w:cs="Times New Roman"/>
          <w:sz w:val="21"/>
          <w:szCs w:val="21"/>
          <w:lang w:val="en-GB"/>
        </w:rPr>
        <w:t>from</w:t>
      </w:r>
      <w:r w:rsidR="007074DB" w:rsidRPr="0071307F">
        <w:rPr>
          <w:rFonts w:ascii="Constantia" w:eastAsia="Calibri" w:hAnsi="Constantia" w:cs="Times New Roman"/>
          <w:sz w:val="21"/>
          <w:szCs w:val="21"/>
          <w:lang w:val="en-GB"/>
        </w:rPr>
        <w:t xml:space="preserve"> and including</w:t>
      </w:r>
      <w:r w:rsidR="00AF734E" w:rsidRPr="0071307F">
        <w:rPr>
          <w:rFonts w:ascii="Constantia" w:eastAsia="Calibri" w:hAnsi="Constantia" w:cs="Times New Roman"/>
          <w:sz w:val="21"/>
          <w:szCs w:val="21"/>
          <w:lang w:val="en-GB"/>
        </w:rPr>
        <w:t xml:space="preserve"> </w:t>
      </w:r>
      <w:r w:rsidR="00E42264">
        <w:rPr>
          <w:rFonts w:ascii="Constantia" w:eastAsia="Calibri" w:hAnsi="Constantia" w:cs="Times New Roman"/>
          <w:sz w:val="21"/>
          <w:szCs w:val="21"/>
          <w:lang w:val="en-GB"/>
        </w:rPr>
        <w:t>30 June</w:t>
      </w:r>
      <w:r w:rsidR="00AF734E" w:rsidRPr="0071307F">
        <w:rPr>
          <w:rFonts w:ascii="Constantia" w:eastAsia="Calibri" w:hAnsi="Constantia" w:cs="Times New Roman"/>
          <w:sz w:val="21"/>
          <w:szCs w:val="21"/>
          <w:lang w:val="en-GB"/>
        </w:rPr>
        <w:t xml:space="preserve"> 202</w:t>
      </w:r>
      <w:r w:rsidR="00E42264">
        <w:rPr>
          <w:rFonts w:ascii="Constantia" w:eastAsia="Calibri" w:hAnsi="Constantia" w:cs="Times New Roman"/>
          <w:sz w:val="21"/>
          <w:szCs w:val="21"/>
          <w:lang w:val="en-GB"/>
        </w:rPr>
        <w:t>3</w:t>
      </w:r>
      <w:r w:rsidR="007074DB" w:rsidRPr="0071307F">
        <w:rPr>
          <w:rFonts w:ascii="Constantia" w:eastAsia="Calibri" w:hAnsi="Constantia" w:cs="Times New Roman"/>
          <w:sz w:val="21"/>
          <w:szCs w:val="21"/>
          <w:lang w:val="en-GB"/>
        </w:rPr>
        <w:t xml:space="preserve"> up</w:t>
      </w:r>
      <w:r w:rsidR="00AF734E" w:rsidRPr="0071307F">
        <w:rPr>
          <w:rFonts w:ascii="Constantia" w:eastAsia="Calibri" w:hAnsi="Constantia" w:cs="Times New Roman"/>
          <w:sz w:val="21"/>
          <w:szCs w:val="21"/>
          <w:lang w:val="en-GB"/>
        </w:rPr>
        <w:t xml:space="preserve"> to </w:t>
      </w:r>
      <w:r w:rsidR="007074DB" w:rsidRPr="0071307F">
        <w:rPr>
          <w:rFonts w:ascii="Constantia" w:eastAsia="Calibri" w:hAnsi="Constantia" w:cs="Times New Roman"/>
          <w:sz w:val="21"/>
          <w:szCs w:val="21"/>
          <w:lang w:val="en-GB"/>
        </w:rPr>
        <w:t xml:space="preserve">and including </w:t>
      </w:r>
      <w:r w:rsidR="00CA7902">
        <w:rPr>
          <w:rFonts w:ascii="Constantia" w:eastAsia="Calibri" w:hAnsi="Constantia" w:cs="Times New Roman"/>
          <w:sz w:val="21"/>
          <w:szCs w:val="21"/>
          <w:lang w:val="en-GB"/>
        </w:rPr>
        <w:t>30 June 2032</w:t>
      </w:r>
      <w:r w:rsidR="00AF734E" w:rsidRPr="00B8571F">
        <w:rPr>
          <w:rFonts w:ascii="Constantia" w:eastAsia="Calibri" w:hAnsi="Constantia" w:cs="Times New Roman"/>
          <w:sz w:val="21"/>
          <w:szCs w:val="21"/>
          <w:lang w:val="en-GB"/>
        </w:rPr>
        <w:t>.</w:t>
      </w:r>
    </w:p>
    <w:bookmarkEnd w:id="0"/>
    <w:bookmarkEnd w:id="1"/>
    <w:p w14:paraId="2CC48694" w14:textId="604A7036" w:rsidR="00C27934" w:rsidRPr="00C27934" w:rsidRDefault="00032EE7" w:rsidP="00C27934">
      <w:pPr>
        <w:pStyle w:val="Listtyp1niv1"/>
        <w:numPr>
          <w:ilvl w:val="5"/>
          <w:numId w:val="15"/>
        </w:numPr>
        <w:rPr>
          <w:lang w:val="en-GB"/>
        </w:rPr>
      </w:pPr>
      <w:r w:rsidRPr="00C27934">
        <w:rPr>
          <w:rFonts w:ascii="Constantia" w:hAnsi="Constantia"/>
          <w:sz w:val="21"/>
          <w:szCs w:val="21"/>
          <w:lang w:val="en-GB"/>
        </w:rPr>
        <w:t>The stock options are subject to vesting. 1/3 of the stock options are vested one year</w:t>
      </w:r>
      <w:r w:rsidR="00CE29EE" w:rsidRPr="00C27934">
        <w:rPr>
          <w:rFonts w:ascii="Constantia" w:hAnsi="Constantia"/>
          <w:sz w:val="21"/>
          <w:szCs w:val="21"/>
          <w:lang w:val="en-GB"/>
        </w:rPr>
        <w:t xml:space="preserve"> from the grant date</w:t>
      </w:r>
      <w:r w:rsidRPr="00C27934">
        <w:rPr>
          <w:rFonts w:ascii="Constantia" w:hAnsi="Constantia"/>
          <w:sz w:val="21"/>
          <w:szCs w:val="21"/>
          <w:lang w:val="en-GB"/>
        </w:rPr>
        <w:t xml:space="preserve">, 2/3 of </w:t>
      </w:r>
      <w:r w:rsidR="00CB419F" w:rsidRPr="00C27934">
        <w:rPr>
          <w:rFonts w:ascii="Constantia" w:hAnsi="Constantia"/>
          <w:sz w:val="21"/>
          <w:szCs w:val="21"/>
          <w:lang w:val="en-GB"/>
        </w:rPr>
        <w:t xml:space="preserve">the </w:t>
      </w:r>
      <w:r w:rsidRPr="00C27934">
        <w:rPr>
          <w:rFonts w:ascii="Constantia" w:hAnsi="Constantia"/>
          <w:sz w:val="21"/>
          <w:szCs w:val="21"/>
          <w:lang w:val="en-GB"/>
        </w:rPr>
        <w:t>stock options are vested two years</w:t>
      </w:r>
      <w:r w:rsidR="00CE29EE" w:rsidRPr="00C27934">
        <w:rPr>
          <w:rFonts w:ascii="Constantia" w:hAnsi="Constantia"/>
          <w:sz w:val="21"/>
          <w:szCs w:val="21"/>
          <w:lang w:val="en-GB"/>
        </w:rPr>
        <w:t xml:space="preserve"> from the grant date</w:t>
      </w:r>
      <w:r w:rsidRPr="00C27934">
        <w:rPr>
          <w:rFonts w:ascii="Constantia" w:hAnsi="Constantia"/>
          <w:sz w:val="21"/>
          <w:szCs w:val="21"/>
          <w:lang w:val="en-GB"/>
        </w:rPr>
        <w:t xml:space="preserve"> and </w:t>
      </w:r>
      <w:proofErr w:type="gramStart"/>
      <w:r w:rsidRPr="00C27934">
        <w:rPr>
          <w:rFonts w:ascii="Constantia" w:hAnsi="Constantia"/>
          <w:sz w:val="21"/>
          <w:szCs w:val="21"/>
          <w:lang w:val="en-GB"/>
        </w:rPr>
        <w:t xml:space="preserve">all </w:t>
      </w:r>
      <w:r w:rsidR="00CB419F" w:rsidRPr="00C27934">
        <w:rPr>
          <w:rFonts w:ascii="Constantia" w:hAnsi="Constantia"/>
          <w:sz w:val="21"/>
          <w:szCs w:val="21"/>
          <w:lang w:val="en-GB"/>
        </w:rPr>
        <w:t>of</w:t>
      </w:r>
      <w:proofErr w:type="gramEnd"/>
      <w:r w:rsidR="00CB419F" w:rsidRPr="00C27934">
        <w:rPr>
          <w:rFonts w:ascii="Constantia" w:hAnsi="Constantia"/>
          <w:sz w:val="21"/>
          <w:szCs w:val="21"/>
          <w:lang w:val="en-GB"/>
        </w:rPr>
        <w:t xml:space="preserve"> the </w:t>
      </w:r>
      <w:r w:rsidRPr="00C27934">
        <w:rPr>
          <w:rFonts w:ascii="Constantia" w:hAnsi="Constantia"/>
          <w:sz w:val="21"/>
          <w:szCs w:val="21"/>
          <w:lang w:val="en-GB"/>
        </w:rPr>
        <w:t>stock options are vested three years</w:t>
      </w:r>
      <w:r w:rsidR="00CE29EE" w:rsidRPr="00C27934">
        <w:rPr>
          <w:rFonts w:ascii="Constantia" w:hAnsi="Constantia"/>
          <w:sz w:val="21"/>
          <w:szCs w:val="21"/>
          <w:lang w:val="en-GB"/>
        </w:rPr>
        <w:t xml:space="preserve"> from the grant date</w:t>
      </w:r>
      <w:r w:rsidRPr="00C27934">
        <w:rPr>
          <w:rFonts w:ascii="Constantia" w:hAnsi="Constantia"/>
          <w:sz w:val="21"/>
          <w:szCs w:val="21"/>
          <w:lang w:val="en-GB"/>
        </w:rPr>
        <w:t xml:space="preserve">. </w:t>
      </w:r>
      <w:r w:rsidR="009A55EB" w:rsidRPr="00C27934">
        <w:rPr>
          <w:rFonts w:ascii="Constantia" w:hAnsi="Constantia"/>
          <w:sz w:val="21"/>
          <w:szCs w:val="21"/>
          <w:lang w:val="en-GB"/>
        </w:rPr>
        <w:t>The h</w:t>
      </w:r>
      <w:r w:rsidR="003346F1" w:rsidRPr="00C27934">
        <w:rPr>
          <w:rFonts w:ascii="Constantia" w:hAnsi="Constantia"/>
          <w:sz w:val="21"/>
          <w:szCs w:val="21"/>
          <w:lang w:val="en-GB"/>
        </w:rPr>
        <w:t xml:space="preserve">older shall be entitled to exercise the </w:t>
      </w:r>
      <w:r w:rsidRPr="00C27934">
        <w:rPr>
          <w:rFonts w:ascii="Constantia" w:hAnsi="Constantia"/>
          <w:sz w:val="21"/>
          <w:szCs w:val="21"/>
          <w:lang w:val="en-GB"/>
        </w:rPr>
        <w:t xml:space="preserve">vested </w:t>
      </w:r>
      <w:r w:rsidR="003346F1" w:rsidRPr="00C27934">
        <w:rPr>
          <w:rFonts w:ascii="Constantia" w:hAnsi="Constantia"/>
          <w:sz w:val="21"/>
          <w:szCs w:val="21"/>
          <w:lang w:val="en-GB"/>
        </w:rPr>
        <w:t xml:space="preserve">stock options </w:t>
      </w:r>
      <w:r w:rsidR="00CF1E9C" w:rsidRPr="00C27934">
        <w:rPr>
          <w:rFonts w:ascii="Constantia" w:hAnsi="Constantia"/>
          <w:sz w:val="21"/>
          <w:szCs w:val="21"/>
          <w:lang w:val="en-GB"/>
        </w:rPr>
        <w:t>during the period set out above</w:t>
      </w:r>
      <w:r w:rsidR="003346F1" w:rsidRPr="00C27934">
        <w:rPr>
          <w:rFonts w:ascii="Constantia" w:hAnsi="Constantia"/>
          <w:sz w:val="21"/>
          <w:szCs w:val="21"/>
          <w:lang w:val="en-GB"/>
        </w:rPr>
        <w:t xml:space="preserve">, provided that the holder concerned </w:t>
      </w:r>
      <w:r w:rsidR="002B031A" w:rsidRPr="00C27934">
        <w:rPr>
          <w:rFonts w:ascii="Constantia" w:hAnsi="Constantia"/>
          <w:sz w:val="21"/>
          <w:szCs w:val="21"/>
          <w:lang w:val="en-GB"/>
        </w:rPr>
        <w:t>at</w:t>
      </w:r>
      <w:r w:rsidR="00D75B70" w:rsidRPr="00C27934">
        <w:rPr>
          <w:rFonts w:ascii="Constantia" w:hAnsi="Constantia"/>
          <w:sz w:val="21"/>
          <w:szCs w:val="21"/>
          <w:lang w:val="en-GB"/>
        </w:rPr>
        <w:t xml:space="preserve"> this time</w:t>
      </w:r>
      <w:r w:rsidR="003C2BC0" w:rsidRPr="00C27934">
        <w:rPr>
          <w:rFonts w:ascii="Constantia" w:hAnsi="Constantia"/>
          <w:sz w:val="21"/>
          <w:szCs w:val="21"/>
          <w:lang w:val="en-GB"/>
        </w:rPr>
        <w:t xml:space="preserve"> </w:t>
      </w:r>
      <w:r w:rsidR="003346F1" w:rsidRPr="00C27934">
        <w:rPr>
          <w:rFonts w:ascii="Constantia" w:hAnsi="Constantia"/>
          <w:sz w:val="21"/>
          <w:szCs w:val="21"/>
          <w:lang w:val="en-GB"/>
        </w:rPr>
        <w:t xml:space="preserve">(a) is still employed by the group and (b) has not received notice of dismissal (Sw. </w:t>
      </w:r>
      <w:proofErr w:type="spellStart"/>
      <w:r w:rsidR="003346F1" w:rsidRPr="00C10B29">
        <w:rPr>
          <w:rFonts w:ascii="Constantia" w:hAnsi="Constantia"/>
          <w:i/>
          <w:iCs/>
          <w:sz w:val="21"/>
          <w:szCs w:val="21"/>
          <w:lang w:val="en-GB"/>
        </w:rPr>
        <w:t>avsked</w:t>
      </w:r>
      <w:proofErr w:type="spellEnd"/>
      <w:r w:rsidR="003346F1" w:rsidRPr="00C27934">
        <w:rPr>
          <w:rFonts w:ascii="Constantia" w:hAnsi="Constantia"/>
          <w:sz w:val="21"/>
          <w:szCs w:val="21"/>
          <w:lang w:val="en-GB"/>
        </w:rPr>
        <w:t xml:space="preserve">) or termination (Sw. </w:t>
      </w:r>
      <w:proofErr w:type="spellStart"/>
      <w:r w:rsidR="003346F1" w:rsidRPr="00C10B29">
        <w:rPr>
          <w:rFonts w:ascii="Constantia" w:hAnsi="Constantia"/>
          <w:i/>
          <w:iCs/>
          <w:sz w:val="21"/>
          <w:szCs w:val="21"/>
          <w:lang w:val="en-GB"/>
        </w:rPr>
        <w:t>uppsägning</w:t>
      </w:r>
      <w:proofErr w:type="spellEnd"/>
      <w:r w:rsidR="003346F1" w:rsidRPr="00C27934">
        <w:rPr>
          <w:rFonts w:ascii="Constantia" w:hAnsi="Constantia"/>
          <w:sz w:val="21"/>
          <w:szCs w:val="21"/>
          <w:lang w:val="en-GB"/>
        </w:rPr>
        <w:t xml:space="preserve">) from his or her employment in the group for reasons other than scarcity of work (Sw. </w:t>
      </w:r>
      <w:proofErr w:type="spellStart"/>
      <w:r w:rsidR="003346F1" w:rsidRPr="00C10B29">
        <w:rPr>
          <w:rFonts w:ascii="Constantia" w:hAnsi="Constantia"/>
          <w:i/>
          <w:iCs/>
          <w:sz w:val="21"/>
          <w:szCs w:val="21"/>
          <w:lang w:val="en-GB"/>
        </w:rPr>
        <w:t>arbetsbrist</w:t>
      </w:r>
      <w:proofErr w:type="spellEnd"/>
      <w:r w:rsidR="003346F1" w:rsidRPr="00C27934">
        <w:rPr>
          <w:rFonts w:ascii="Constantia" w:hAnsi="Constantia"/>
          <w:sz w:val="21"/>
          <w:szCs w:val="21"/>
          <w:lang w:val="en-GB"/>
        </w:rPr>
        <w:t>).</w:t>
      </w:r>
      <w:r w:rsidR="001F65A3" w:rsidRPr="00C27934">
        <w:rPr>
          <w:rFonts w:ascii="Constantia" w:hAnsi="Constantia"/>
          <w:sz w:val="21"/>
          <w:szCs w:val="21"/>
          <w:lang w:val="en-GB"/>
        </w:rPr>
        <w:t xml:space="preserve"> </w:t>
      </w:r>
      <w:proofErr w:type="gramStart"/>
      <w:r w:rsidR="00C27934" w:rsidRPr="00C27934">
        <w:rPr>
          <w:rFonts w:ascii="Constantia" w:hAnsi="Constantia"/>
          <w:sz w:val="21"/>
          <w:szCs w:val="21"/>
          <w:lang w:val="en-GB"/>
        </w:rPr>
        <w:t xml:space="preserve">In the event </w:t>
      </w:r>
      <w:r w:rsidR="00C27934">
        <w:rPr>
          <w:rFonts w:ascii="Constantia" w:hAnsi="Constantia"/>
          <w:sz w:val="21"/>
          <w:szCs w:val="21"/>
          <w:lang w:val="en-GB"/>
        </w:rPr>
        <w:t>that</w:t>
      </w:r>
      <w:proofErr w:type="gramEnd"/>
      <w:r w:rsidR="00C27934">
        <w:rPr>
          <w:rFonts w:ascii="Constantia" w:hAnsi="Constantia"/>
          <w:sz w:val="21"/>
          <w:szCs w:val="21"/>
          <w:lang w:val="en-GB"/>
        </w:rPr>
        <w:t xml:space="preserve"> </w:t>
      </w:r>
      <w:r w:rsidR="00C27934" w:rsidRPr="00C27934">
        <w:rPr>
          <w:rFonts w:ascii="Constantia" w:hAnsi="Constantia"/>
          <w:sz w:val="21"/>
          <w:szCs w:val="21"/>
          <w:lang w:val="en-GB"/>
        </w:rPr>
        <w:t xml:space="preserve">the </w:t>
      </w:r>
      <w:r w:rsidR="00C27934">
        <w:rPr>
          <w:rFonts w:ascii="Constantia" w:hAnsi="Constantia"/>
          <w:sz w:val="21"/>
          <w:szCs w:val="21"/>
          <w:lang w:val="en-GB"/>
        </w:rPr>
        <w:t>stock option h</w:t>
      </w:r>
      <w:r w:rsidR="00C27934" w:rsidRPr="00C27934">
        <w:rPr>
          <w:rFonts w:ascii="Constantia" w:hAnsi="Constantia"/>
          <w:sz w:val="21"/>
          <w:szCs w:val="21"/>
          <w:lang w:val="en-GB"/>
        </w:rPr>
        <w:t xml:space="preserve">older ceases employment during the </w:t>
      </w:r>
      <w:r w:rsidR="00C27934">
        <w:rPr>
          <w:rFonts w:ascii="Constantia" w:hAnsi="Constantia"/>
          <w:sz w:val="21"/>
          <w:szCs w:val="21"/>
          <w:lang w:val="en-GB"/>
        </w:rPr>
        <w:t>e</w:t>
      </w:r>
      <w:r w:rsidR="00C27934" w:rsidRPr="00C27934">
        <w:rPr>
          <w:rFonts w:ascii="Constantia" w:hAnsi="Constantia"/>
          <w:sz w:val="21"/>
          <w:szCs w:val="21"/>
          <w:lang w:val="en-GB"/>
        </w:rPr>
        <w:t xml:space="preserve">xercise </w:t>
      </w:r>
      <w:r w:rsidR="00C27934">
        <w:rPr>
          <w:rFonts w:ascii="Constantia" w:hAnsi="Constantia"/>
          <w:sz w:val="21"/>
          <w:szCs w:val="21"/>
          <w:lang w:val="en-GB"/>
        </w:rPr>
        <w:t>p</w:t>
      </w:r>
      <w:r w:rsidR="00C27934" w:rsidRPr="00C27934">
        <w:rPr>
          <w:rFonts w:ascii="Constantia" w:hAnsi="Constantia"/>
          <w:sz w:val="21"/>
          <w:szCs w:val="21"/>
          <w:lang w:val="en-GB"/>
        </w:rPr>
        <w:t xml:space="preserve">eriod, the </w:t>
      </w:r>
      <w:r w:rsidR="00C27934">
        <w:rPr>
          <w:rFonts w:ascii="Constantia" w:hAnsi="Constantia"/>
          <w:sz w:val="21"/>
          <w:szCs w:val="21"/>
          <w:lang w:val="en-GB"/>
        </w:rPr>
        <w:t>v</w:t>
      </w:r>
      <w:r w:rsidR="00C27934" w:rsidRPr="00C27934">
        <w:rPr>
          <w:rFonts w:ascii="Constantia" w:hAnsi="Constantia"/>
          <w:sz w:val="21"/>
          <w:szCs w:val="21"/>
          <w:lang w:val="en-GB"/>
        </w:rPr>
        <w:t xml:space="preserve">ested </w:t>
      </w:r>
      <w:r w:rsidR="00C27934">
        <w:rPr>
          <w:rFonts w:ascii="Constantia" w:hAnsi="Constantia"/>
          <w:sz w:val="21"/>
          <w:szCs w:val="21"/>
          <w:lang w:val="en-GB"/>
        </w:rPr>
        <w:t>s</w:t>
      </w:r>
      <w:r w:rsidR="00C27934" w:rsidRPr="00C27934">
        <w:rPr>
          <w:rFonts w:ascii="Constantia" w:hAnsi="Constantia"/>
          <w:sz w:val="21"/>
          <w:szCs w:val="21"/>
          <w:lang w:val="en-GB"/>
        </w:rPr>
        <w:t xml:space="preserve">tock </w:t>
      </w:r>
      <w:r w:rsidR="00C27934">
        <w:rPr>
          <w:rFonts w:ascii="Constantia" w:hAnsi="Constantia"/>
          <w:sz w:val="21"/>
          <w:szCs w:val="21"/>
          <w:lang w:val="en-GB"/>
        </w:rPr>
        <w:t>o</w:t>
      </w:r>
      <w:r w:rsidR="00C27934" w:rsidRPr="00C27934">
        <w:rPr>
          <w:rFonts w:ascii="Constantia" w:hAnsi="Constantia"/>
          <w:sz w:val="21"/>
          <w:szCs w:val="21"/>
          <w:lang w:val="en-GB"/>
        </w:rPr>
        <w:t>ption</w:t>
      </w:r>
      <w:r w:rsidR="00C27934">
        <w:rPr>
          <w:rFonts w:ascii="Constantia" w:hAnsi="Constantia"/>
          <w:sz w:val="21"/>
          <w:szCs w:val="21"/>
          <w:lang w:val="en-GB"/>
        </w:rPr>
        <w:t>s</w:t>
      </w:r>
      <w:r w:rsidR="00C27934" w:rsidRPr="00C27934">
        <w:rPr>
          <w:rFonts w:ascii="Constantia" w:hAnsi="Constantia"/>
          <w:sz w:val="21"/>
          <w:szCs w:val="21"/>
          <w:lang w:val="en-GB"/>
        </w:rPr>
        <w:t xml:space="preserve"> may be exercised within a period of 90 days following the date of cessation, whereupon to the extent unexercised </w:t>
      </w:r>
      <w:r w:rsidR="00C27934">
        <w:rPr>
          <w:rFonts w:ascii="Constantia" w:hAnsi="Constantia"/>
          <w:sz w:val="21"/>
          <w:szCs w:val="21"/>
          <w:lang w:val="en-GB"/>
        </w:rPr>
        <w:t>the stock options</w:t>
      </w:r>
      <w:r w:rsidR="00C27934" w:rsidRPr="00C27934">
        <w:rPr>
          <w:rFonts w:ascii="Constantia" w:hAnsi="Constantia"/>
          <w:sz w:val="21"/>
          <w:szCs w:val="21"/>
          <w:lang w:val="en-GB"/>
        </w:rPr>
        <w:t xml:space="preserve"> shall lapse, except where the </w:t>
      </w:r>
      <w:r w:rsidR="00C27934">
        <w:rPr>
          <w:rFonts w:ascii="Constantia" w:hAnsi="Constantia"/>
          <w:sz w:val="21"/>
          <w:szCs w:val="21"/>
          <w:lang w:val="en-GB"/>
        </w:rPr>
        <w:t>stock option h</w:t>
      </w:r>
      <w:r w:rsidR="00C27934" w:rsidRPr="00C27934">
        <w:rPr>
          <w:rFonts w:ascii="Constantia" w:hAnsi="Constantia"/>
          <w:sz w:val="21"/>
          <w:szCs w:val="21"/>
          <w:lang w:val="en-GB"/>
        </w:rPr>
        <w:t xml:space="preserve">older's employment ceases as a result of gross misconduct or summary dismissal, in which case the </w:t>
      </w:r>
      <w:r w:rsidR="00C27934">
        <w:rPr>
          <w:rFonts w:ascii="Constantia" w:hAnsi="Constantia"/>
          <w:sz w:val="21"/>
          <w:szCs w:val="21"/>
          <w:lang w:val="en-GB"/>
        </w:rPr>
        <w:t>s</w:t>
      </w:r>
      <w:r w:rsidR="00C27934" w:rsidRPr="00C27934">
        <w:rPr>
          <w:rFonts w:ascii="Constantia" w:hAnsi="Constantia"/>
          <w:sz w:val="21"/>
          <w:szCs w:val="21"/>
          <w:lang w:val="en-GB"/>
        </w:rPr>
        <w:t xml:space="preserve">tock </w:t>
      </w:r>
      <w:r w:rsidR="00C27934">
        <w:rPr>
          <w:rFonts w:ascii="Constantia" w:hAnsi="Constantia"/>
          <w:sz w:val="21"/>
          <w:szCs w:val="21"/>
          <w:lang w:val="en-GB"/>
        </w:rPr>
        <w:t>o</w:t>
      </w:r>
      <w:r w:rsidR="00C27934" w:rsidRPr="00C27934">
        <w:rPr>
          <w:rFonts w:ascii="Constantia" w:hAnsi="Constantia"/>
          <w:sz w:val="21"/>
          <w:szCs w:val="21"/>
          <w:lang w:val="en-GB"/>
        </w:rPr>
        <w:t>ption</w:t>
      </w:r>
      <w:r w:rsidR="00C27934">
        <w:rPr>
          <w:rFonts w:ascii="Constantia" w:hAnsi="Constantia"/>
          <w:sz w:val="21"/>
          <w:szCs w:val="21"/>
          <w:lang w:val="en-GB"/>
        </w:rPr>
        <w:t>s</w:t>
      </w:r>
      <w:r w:rsidR="00C27934" w:rsidRPr="00C27934">
        <w:rPr>
          <w:rFonts w:ascii="Constantia" w:hAnsi="Constantia"/>
          <w:sz w:val="21"/>
          <w:szCs w:val="21"/>
          <w:lang w:val="en-GB"/>
        </w:rPr>
        <w:t xml:space="preserve"> shall lapse on the date of notice of termination.</w:t>
      </w:r>
    </w:p>
    <w:p w14:paraId="4ED28372" w14:textId="2B377E76" w:rsidR="00C578EE" w:rsidRPr="001F65A3" w:rsidRDefault="001F65A3" w:rsidP="001F65A3">
      <w:pPr>
        <w:pStyle w:val="Listtyp1niv1"/>
        <w:numPr>
          <w:ilvl w:val="5"/>
          <w:numId w:val="15"/>
        </w:numPr>
        <w:rPr>
          <w:rFonts w:ascii="Constantia" w:hAnsi="Constantia"/>
          <w:sz w:val="21"/>
          <w:szCs w:val="21"/>
          <w:lang w:val="en-GB"/>
        </w:rPr>
      </w:pPr>
      <w:r w:rsidRPr="001F65A3">
        <w:rPr>
          <w:rFonts w:ascii="Constantia" w:hAnsi="Constantia"/>
          <w:sz w:val="21"/>
          <w:szCs w:val="21"/>
          <w:lang w:val="en-GB"/>
        </w:rPr>
        <w:t>As the program is directed towards British employees and has been prepared in accordance with special British tax rules, the board of directors deems it appropriate that certain stock options vest</w:t>
      </w:r>
      <w:r w:rsidR="0025457C">
        <w:rPr>
          <w:rFonts w:ascii="Constantia" w:hAnsi="Constantia"/>
          <w:sz w:val="21"/>
          <w:szCs w:val="21"/>
          <w:lang w:val="en-GB"/>
        </w:rPr>
        <w:t xml:space="preserve"> and can be exercised</w:t>
      </w:r>
      <w:r w:rsidRPr="001F65A3">
        <w:rPr>
          <w:rFonts w:ascii="Constantia" w:hAnsi="Constantia"/>
          <w:sz w:val="21"/>
          <w:szCs w:val="21"/>
          <w:lang w:val="en-GB"/>
        </w:rPr>
        <w:t xml:space="preserve"> earlier than three years from the grant date.</w:t>
      </w:r>
    </w:p>
    <w:p w14:paraId="7D097E16" w14:textId="4813197D" w:rsidR="00B9082B" w:rsidRPr="003B6D48" w:rsidRDefault="009A55EB" w:rsidP="00B9082B">
      <w:pPr>
        <w:pStyle w:val="Listtyp1niv1"/>
        <w:numPr>
          <w:ilvl w:val="5"/>
          <w:numId w:val="15"/>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Upon exercise, each stock option will entitle the holder to receive one </w:t>
      </w:r>
      <w:r w:rsidR="00352924">
        <w:rPr>
          <w:rFonts w:ascii="Constantia" w:eastAsia="Calibri" w:hAnsi="Constantia" w:cs="Times New Roman"/>
          <w:sz w:val="21"/>
          <w:szCs w:val="21"/>
          <w:lang w:val="en-GB"/>
        </w:rPr>
        <w:t xml:space="preserve">                                                                                                                                                                                                                                                                                                                                                                                                                                                                                                                                                                                                                                                                                                                                                                                                                                                                                                                                                                                                                                                                </w:t>
      </w:r>
      <w:r w:rsidR="009D3519">
        <w:rPr>
          <w:rFonts w:ascii="Constantia" w:eastAsia="Calibri" w:hAnsi="Constantia" w:cs="Times New Roman"/>
          <w:sz w:val="21"/>
          <w:szCs w:val="21"/>
          <w:lang w:val="en-GB"/>
        </w:rPr>
        <w:t>warrant immediately exercisable for one share against payment</w:t>
      </w:r>
      <w:r w:rsidRPr="003B6D48">
        <w:rPr>
          <w:rFonts w:ascii="Constantia" w:eastAsia="Calibri" w:hAnsi="Constantia" w:cs="Times New Roman"/>
          <w:sz w:val="21"/>
          <w:szCs w:val="21"/>
          <w:lang w:val="en-GB"/>
        </w:rPr>
        <w:t xml:space="preserve"> of the </w:t>
      </w:r>
      <w:r w:rsidR="007730F9">
        <w:rPr>
          <w:rFonts w:ascii="Constantia" w:eastAsia="Calibri" w:hAnsi="Constantia" w:cs="Times New Roman"/>
          <w:sz w:val="21"/>
          <w:szCs w:val="21"/>
          <w:lang w:val="en-GB"/>
        </w:rPr>
        <w:t>exercise</w:t>
      </w:r>
      <w:r w:rsidRPr="003B6D48">
        <w:rPr>
          <w:rFonts w:ascii="Constantia" w:eastAsia="Calibri" w:hAnsi="Constantia" w:cs="Times New Roman"/>
          <w:sz w:val="21"/>
          <w:szCs w:val="21"/>
          <w:lang w:val="en-GB"/>
        </w:rPr>
        <w:t xml:space="preserve"> price. </w:t>
      </w:r>
    </w:p>
    <w:p w14:paraId="70370262" w14:textId="437AD2DE" w:rsidR="00C578EE" w:rsidRPr="003B6D48" w:rsidRDefault="009A55EB" w:rsidP="00C578EE">
      <w:pPr>
        <w:numPr>
          <w:ilvl w:val="5"/>
          <w:numId w:val="15"/>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For participation in </w:t>
      </w:r>
      <w:r w:rsidR="00D520B0"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AF734E"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it is </w:t>
      </w:r>
      <w:r w:rsidR="00D9428D" w:rsidRPr="003B6D48">
        <w:rPr>
          <w:rFonts w:ascii="Constantia" w:eastAsia="Calibri" w:hAnsi="Constantia" w:cs="Times New Roman"/>
          <w:sz w:val="21"/>
          <w:szCs w:val="21"/>
          <w:lang w:val="en-GB"/>
        </w:rPr>
        <w:t xml:space="preserve">required </w:t>
      </w:r>
      <w:r w:rsidRPr="003B6D48">
        <w:rPr>
          <w:rFonts w:ascii="Constantia" w:eastAsia="Calibri" w:hAnsi="Constantia" w:cs="Times New Roman"/>
          <w:sz w:val="21"/>
          <w:szCs w:val="21"/>
          <w:lang w:val="en-GB"/>
        </w:rPr>
        <w:t xml:space="preserve">that such participation </w:t>
      </w:r>
      <w:proofErr w:type="gramStart"/>
      <w:r w:rsidRPr="003B6D48">
        <w:rPr>
          <w:rFonts w:ascii="Constantia" w:eastAsia="Calibri" w:hAnsi="Constantia" w:cs="Times New Roman"/>
          <w:sz w:val="21"/>
          <w:szCs w:val="21"/>
          <w:lang w:val="en-GB"/>
        </w:rPr>
        <w:t>is</w:t>
      </w:r>
      <w:proofErr w:type="gramEnd"/>
      <w:r w:rsidRPr="003B6D48">
        <w:rPr>
          <w:rFonts w:ascii="Constantia" w:eastAsia="Calibri" w:hAnsi="Constantia" w:cs="Times New Roman"/>
          <w:sz w:val="21"/>
          <w:szCs w:val="21"/>
          <w:lang w:val="en-GB"/>
        </w:rPr>
        <w:t xml:space="preserve"> legally possible, and that such participation in the board of directors' opinion is possible at reasonable administrative costs and with reasonable financial resources.</w:t>
      </w:r>
    </w:p>
    <w:p w14:paraId="09635521" w14:textId="77777777" w:rsidR="00014534" w:rsidRPr="003B6D48" w:rsidRDefault="009A55EB" w:rsidP="00014534">
      <w:pPr>
        <w:pStyle w:val="Listtyp1niv1"/>
        <w:numPr>
          <w:ilvl w:val="5"/>
          <w:numId w:val="15"/>
        </w:numPr>
        <w:rPr>
          <w:rFonts w:ascii="Constantia" w:eastAsia="Calibri" w:hAnsi="Constantia" w:cs="Times New Roman"/>
          <w:sz w:val="21"/>
          <w:szCs w:val="21"/>
          <w:lang w:val="en-GB"/>
        </w:rPr>
      </w:pPr>
      <w:r w:rsidRPr="003B6D48">
        <w:rPr>
          <w:rFonts w:ascii="Constantia" w:hAnsi="Constantia"/>
          <w:sz w:val="21"/>
          <w:szCs w:val="21"/>
          <w:lang w:val="en-US"/>
        </w:rPr>
        <w:t xml:space="preserve">Issued employee stock options do not constitute securities and may not be transferred, </w:t>
      </w:r>
      <w:proofErr w:type="gramStart"/>
      <w:r w:rsidRPr="003B6D48">
        <w:rPr>
          <w:rFonts w:ascii="Constantia" w:hAnsi="Constantia"/>
          <w:sz w:val="21"/>
          <w:szCs w:val="21"/>
          <w:lang w:val="en-US"/>
        </w:rPr>
        <w:t>pledged</w:t>
      </w:r>
      <w:proofErr w:type="gramEnd"/>
      <w:r w:rsidRPr="003B6D48">
        <w:rPr>
          <w:rFonts w:ascii="Constantia" w:hAnsi="Constantia"/>
          <w:sz w:val="21"/>
          <w:szCs w:val="21"/>
          <w:lang w:val="en-US"/>
        </w:rPr>
        <w:t xml:space="preserve"> or otherwise disposed</w:t>
      </w:r>
      <w:r w:rsidR="00D9428D" w:rsidRPr="003B6D48">
        <w:rPr>
          <w:rFonts w:ascii="Constantia" w:hAnsi="Constantia"/>
          <w:sz w:val="21"/>
          <w:szCs w:val="21"/>
          <w:lang w:val="en-US"/>
        </w:rPr>
        <w:t xml:space="preserve"> of</w:t>
      </w:r>
      <w:r w:rsidRPr="003B6D48">
        <w:rPr>
          <w:rFonts w:ascii="Constantia" w:hAnsi="Constantia"/>
          <w:sz w:val="21"/>
          <w:szCs w:val="21"/>
          <w:lang w:val="en-US"/>
        </w:rPr>
        <w:t xml:space="preserve"> by the holder.</w:t>
      </w:r>
    </w:p>
    <w:p w14:paraId="42C57947" w14:textId="77777777" w:rsidR="003B72CB" w:rsidRPr="003B6D48" w:rsidRDefault="009A55EB" w:rsidP="003B72CB">
      <w:pPr>
        <w:pStyle w:val="Listtyp1niv1"/>
        <w:numPr>
          <w:ilvl w:val="5"/>
          <w:numId w:val="15"/>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In other </w:t>
      </w:r>
      <w:r w:rsidR="00F62704" w:rsidRPr="003B6D48">
        <w:rPr>
          <w:rFonts w:ascii="Constantia" w:eastAsia="Calibri" w:hAnsi="Constantia" w:cs="Times New Roman"/>
          <w:sz w:val="21"/>
          <w:szCs w:val="21"/>
          <w:lang w:val="en-GB"/>
        </w:rPr>
        <w:t>respects,</w:t>
      </w:r>
      <w:r w:rsidRPr="003B6D48">
        <w:rPr>
          <w:rFonts w:ascii="Constantia" w:eastAsia="Calibri" w:hAnsi="Constantia" w:cs="Times New Roman"/>
          <w:sz w:val="21"/>
          <w:szCs w:val="21"/>
          <w:lang w:val="en-GB"/>
        </w:rPr>
        <w:t xml:space="preserve"> the board of directors shall establish the general terms for participation in the program.</w:t>
      </w:r>
    </w:p>
    <w:p w14:paraId="2CCA6BAA" w14:textId="288B6391" w:rsidR="00494437" w:rsidRPr="003B6D48" w:rsidRDefault="009A55EB" w:rsidP="00494437">
      <w:pPr>
        <w:rPr>
          <w:rFonts w:ascii="Constantia" w:eastAsia="Calibri" w:hAnsi="Constantia" w:cs="Times New Roman"/>
          <w:b/>
          <w:bCs/>
          <w:sz w:val="21"/>
          <w:szCs w:val="21"/>
          <w:lang w:val="en-GB"/>
        </w:rPr>
      </w:pPr>
      <w:r w:rsidRPr="003B6D48">
        <w:rPr>
          <w:rFonts w:ascii="Constantia" w:eastAsia="Calibri" w:hAnsi="Constantia" w:cs="Times New Roman"/>
          <w:b/>
          <w:bCs/>
          <w:sz w:val="21"/>
          <w:szCs w:val="21"/>
          <w:lang w:val="en-GB"/>
        </w:rPr>
        <w:t>(B) Directed issue of warrants and approval of transfer of warrants to secure the Company’s commitments under option program 202</w:t>
      </w:r>
      <w:r w:rsidR="007820A1" w:rsidRPr="003B6D48">
        <w:rPr>
          <w:rFonts w:ascii="Constantia" w:eastAsia="Calibri" w:hAnsi="Constantia" w:cs="Times New Roman"/>
          <w:b/>
          <w:bCs/>
          <w:sz w:val="21"/>
          <w:szCs w:val="21"/>
          <w:lang w:val="en-GB"/>
        </w:rPr>
        <w:t>2</w:t>
      </w:r>
      <w:r w:rsidRPr="003B6D48">
        <w:rPr>
          <w:rFonts w:ascii="Constantia" w:eastAsia="Calibri" w:hAnsi="Constantia" w:cs="Times New Roman"/>
          <w:b/>
          <w:bCs/>
          <w:sz w:val="21"/>
          <w:szCs w:val="21"/>
          <w:lang w:val="en-GB"/>
        </w:rPr>
        <w:t>/20</w:t>
      </w:r>
      <w:r w:rsidR="006B4BCF">
        <w:rPr>
          <w:rFonts w:ascii="Constantia" w:eastAsia="Calibri" w:hAnsi="Constantia" w:cs="Times New Roman"/>
          <w:b/>
          <w:bCs/>
          <w:sz w:val="21"/>
          <w:szCs w:val="21"/>
          <w:lang w:val="en-GB"/>
        </w:rPr>
        <w:t>32</w:t>
      </w:r>
    </w:p>
    <w:p w14:paraId="6C912E8C" w14:textId="334CD755" w:rsidR="00494437" w:rsidRPr="003B6D48" w:rsidRDefault="009A55EB" w:rsidP="00494437">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To enable the Company’s delivery of shares pursuant to Option Program 202</w:t>
      </w:r>
      <w:r w:rsidR="004852D9"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the </w:t>
      </w:r>
      <w:r w:rsidR="00BD1481" w:rsidRPr="003B6D48">
        <w:rPr>
          <w:rFonts w:ascii="Constantia" w:eastAsia="Calibri" w:hAnsi="Constantia" w:cs="Times New Roman"/>
          <w:sz w:val="21"/>
          <w:szCs w:val="21"/>
          <w:lang w:val="en-GB"/>
        </w:rPr>
        <w:t xml:space="preserve">board of directors </w:t>
      </w:r>
      <w:r w:rsidRPr="003B6D48">
        <w:rPr>
          <w:rFonts w:ascii="Constantia" w:eastAsia="Calibri" w:hAnsi="Constantia" w:cs="Times New Roman"/>
          <w:sz w:val="21"/>
          <w:szCs w:val="21"/>
          <w:lang w:val="en-GB"/>
        </w:rPr>
        <w:t>proposes that the annual general meeting resolves on a directed issue of warrants and to approve the transfer of warrants on the following terms:</w:t>
      </w:r>
    </w:p>
    <w:p w14:paraId="18B3B03D" w14:textId="4D5842A4" w:rsidR="00494437" w:rsidRPr="003B6D48" w:rsidRDefault="009A55EB" w:rsidP="00A816D1">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lastRenderedPageBreak/>
        <w:t xml:space="preserve">A maximum of </w:t>
      </w:r>
      <w:r w:rsidR="00A5342F" w:rsidRPr="00A5342F">
        <w:rPr>
          <w:rFonts w:ascii="Constantia" w:eastAsia="Calibri" w:hAnsi="Constantia" w:cs="Times New Roman"/>
          <w:sz w:val="21"/>
          <w:szCs w:val="21"/>
          <w:lang w:val="en-GB"/>
        </w:rPr>
        <w:t>157,669</w:t>
      </w:r>
      <w:r w:rsidRPr="003B6D48">
        <w:rPr>
          <w:rFonts w:ascii="Constantia" w:eastAsia="Calibri" w:hAnsi="Constantia" w:cs="Times New Roman"/>
          <w:sz w:val="21"/>
          <w:szCs w:val="21"/>
          <w:lang w:val="en-GB"/>
        </w:rPr>
        <w:t xml:space="preserve"> warrants shall be issued</w:t>
      </w:r>
      <w:r w:rsidR="0027748A" w:rsidRPr="003B6D48">
        <w:rPr>
          <w:rFonts w:ascii="Constantia" w:eastAsia="Calibri" w:hAnsi="Constantia" w:cs="Times New Roman"/>
          <w:sz w:val="21"/>
          <w:szCs w:val="21"/>
          <w:lang w:val="en-GB"/>
        </w:rPr>
        <w:t xml:space="preserve">, entailing an increase in the share capital of </w:t>
      </w:r>
      <w:r w:rsidR="00065F2E" w:rsidRPr="003B6D48">
        <w:rPr>
          <w:rFonts w:ascii="Constantia" w:eastAsia="Calibri" w:hAnsi="Constantia" w:cs="Times New Roman"/>
          <w:sz w:val="21"/>
          <w:szCs w:val="21"/>
          <w:lang w:val="en-GB"/>
        </w:rPr>
        <w:t xml:space="preserve">a maximum of </w:t>
      </w:r>
      <w:r w:rsidR="0027748A" w:rsidRPr="003B6D48">
        <w:rPr>
          <w:rFonts w:ascii="Constantia" w:eastAsia="Calibri" w:hAnsi="Constantia" w:cs="Times New Roman"/>
          <w:sz w:val="21"/>
          <w:szCs w:val="21"/>
          <w:lang w:val="en-GB"/>
        </w:rPr>
        <w:t>SEK</w:t>
      </w:r>
      <w:r w:rsidR="004852D9" w:rsidRPr="003B6D48">
        <w:rPr>
          <w:rFonts w:ascii="Constantia" w:eastAsia="Calibri" w:hAnsi="Constantia" w:cs="Times New Roman"/>
          <w:sz w:val="21"/>
          <w:szCs w:val="21"/>
          <w:lang w:val="en-GB"/>
        </w:rPr>
        <w:t xml:space="preserve"> </w:t>
      </w:r>
      <w:r w:rsidR="00A5342F" w:rsidRPr="00A5342F">
        <w:rPr>
          <w:rFonts w:ascii="Constantia" w:eastAsia="Calibri" w:hAnsi="Constantia" w:cs="Times New Roman"/>
          <w:sz w:val="21"/>
          <w:szCs w:val="21"/>
          <w:lang w:val="en-GB"/>
        </w:rPr>
        <w:t>13</w:t>
      </w:r>
      <w:r w:rsidR="00A5342F">
        <w:rPr>
          <w:rFonts w:ascii="Constantia" w:eastAsia="Calibri" w:hAnsi="Constantia" w:cs="Times New Roman"/>
          <w:sz w:val="21"/>
          <w:szCs w:val="21"/>
          <w:lang w:val="en-GB"/>
        </w:rPr>
        <w:t>,</w:t>
      </w:r>
      <w:r w:rsidR="00A5342F" w:rsidRPr="00A5342F">
        <w:rPr>
          <w:rFonts w:ascii="Constantia" w:eastAsia="Calibri" w:hAnsi="Constantia" w:cs="Times New Roman"/>
          <w:sz w:val="21"/>
          <w:szCs w:val="21"/>
          <w:lang w:val="en-GB"/>
        </w:rPr>
        <w:t>155</w:t>
      </w:r>
      <w:r w:rsidR="00A5342F">
        <w:rPr>
          <w:rFonts w:ascii="Constantia" w:eastAsia="Calibri" w:hAnsi="Constantia" w:cs="Times New Roman"/>
          <w:sz w:val="21"/>
          <w:szCs w:val="21"/>
          <w:lang w:val="en-GB"/>
        </w:rPr>
        <w:t>.</w:t>
      </w:r>
      <w:r w:rsidR="00A5342F" w:rsidRPr="00A5342F">
        <w:rPr>
          <w:rFonts w:ascii="Constantia" w:eastAsia="Calibri" w:hAnsi="Constantia" w:cs="Times New Roman"/>
          <w:sz w:val="21"/>
          <w:szCs w:val="21"/>
          <w:lang w:val="en-GB"/>
        </w:rPr>
        <w:t>949260</w:t>
      </w:r>
      <w:r w:rsidR="00014412" w:rsidRPr="003B6D48">
        <w:rPr>
          <w:rFonts w:ascii="Constantia" w:eastAsia="Calibri" w:hAnsi="Constantia" w:cs="Times New Roman"/>
          <w:sz w:val="21"/>
          <w:szCs w:val="21"/>
          <w:lang w:val="en-GB"/>
        </w:rPr>
        <w:t xml:space="preserve"> upon full exercise</w:t>
      </w:r>
      <w:r w:rsidR="0027748A" w:rsidRPr="003B6D48">
        <w:rPr>
          <w:rFonts w:ascii="Constantia" w:eastAsia="Calibri" w:hAnsi="Constantia" w:cs="Times New Roman"/>
          <w:sz w:val="21"/>
          <w:szCs w:val="21"/>
          <w:lang w:val="en-GB"/>
        </w:rPr>
        <w:t>.</w:t>
      </w:r>
    </w:p>
    <w:p w14:paraId="407CE5E8" w14:textId="77777777" w:rsidR="00494437" w:rsidRPr="003B6D48" w:rsidRDefault="009A55EB" w:rsidP="00494437">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Right to subscribe shall, with deviation from the preferential right for existing shareholders, reside in the Company</w:t>
      </w:r>
      <w:r w:rsidR="004852D9" w:rsidRPr="003B6D48">
        <w:rPr>
          <w:rFonts w:ascii="Constantia" w:eastAsia="Calibri" w:hAnsi="Constantia" w:cs="Times New Roman"/>
          <w:sz w:val="21"/>
          <w:szCs w:val="21"/>
          <w:lang w:val="en-GB"/>
        </w:rPr>
        <w:t>.</w:t>
      </w:r>
    </w:p>
    <w:p w14:paraId="128CD5A4" w14:textId="0675027C" w:rsidR="00494437" w:rsidRPr="003B6D48" w:rsidRDefault="009A55EB" w:rsidP="00494437">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Subscription of the warrants shall be made on a separate subscription list no later than </w:t>
      </w:r>
      <w:r w:rsidR="00A5342F">
        <w:rPr>
          <w:rFonts w:ascii="Constantia" w:hAnsi="Constantia"/>
          <w:sz w:val="21"/>
          <w:szCs w:val="21"/>
          <w:lang w:val="en-GB"/>
        </w:rPr>
        <w:t>13 June</w:t>
      </w:r>
      <w:r w:rsidR="004852D9" w:rsidRPr="003B6D48">
        <w:rPr>
          <w:rFonts w:ascii="Constantia" w:hAnsi="Constantia"/>
          <w:sz w:val="21"/>
          <w:szCs w:val="21"/>
          <w:lang w:val="en-GB"/>
        </w:rPr>
        <w:t xml:space="preserve"> 2022.</w:t>
      </w:r>
    </w:p>
    <w:p w14:paraId="3FECBEAF" w14:textId="77777777" w:rsidR="00494437" w:rsidRPr="003B6D48" w:rsidRDefault="009A55EB" w:rsidP="00494437">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warrants shall be issued free of charge.</w:t>
      </w:r>
    </w:p>
    <w:p w14:paraId="785C0BB3" w14:textId="77777777" w:rsidR="00494437" w:rsidRPr="003B6D48" w:rsidRDefault="009A55EB" w:rsidP="00494437">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Each warrant shall entitle the holder to subscribe for one new share.</w:t>
      </w:r>
    </w:p>
    <w:p w14:paraId="7E39C0D8" w14:textId="40A6B187" w:rsidR="00494437" w:rsidRPr="003B6D48" w:rsidRDefault="009A55EB" w:rsidP="00494437">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Each </w:t>
      </w:r>
      <w:r w:rsidR="003B44B2" w:rsidRPr="003B6D48">
        <w:rPr>
          <w:rFonts w:ascii="Constantia" w:eastAsia="Calibri" w:hAnsi="Constantia" w:cs="Times New Roman"/>
          <w:sz w:val="21"/>
          <w:szCs w:val="21"/>
          <w:lang w:val="en-GB"/>
        </w:rPr>
        <w:t>warrant</w:t>
      </w:r>
      <w:r w:rsidRPr="003B6D48">
        <w:rPr>
          <w:rFonts w:ascii="Constantia" w:eastAsia="Calibri" w:hAnsi="Constantia" w:cs="Times New Roman"/>
          <w:sz w:val="21"/>
          <w:szCs w:val="21"/>
          <w:lang w:val="en-GB"/>
        </w:rPr>
        <w:t xml:space="preserve"> shall initially entitle the holder to subscribe for one new share in the Company at a subscription price corresponding </w:t>
      </w:r>
      <w:r w:rsidR="00671B62" w:rsidRPr="00671B62">
        <w:rPr>
          <w:rFonts w:ascii="Constantia" w:eastAsia="Calibri" w:hAnsi="Constantia" w:cs="Times New Roman"/>
          <w:sz w:val="21"/>
          <w:szCs w:val="21"/>
          <w:lang w:val="en-GB"/>
        </w:rPr>
        <w:t xml:space="preserve">to 100 per cent of the closing price (rounded off to the closest </w:t>
      </w:r>
      <w:proofErr w:type="spellStart"/>
      <w:r w:rsidR="00671B62" w:rsidRPr="00671B62">
        <w:rPr>
          <w:rFonts w:ascii="Constantia" w:eastAsia="Calibri" w:hAnsi="Constantia" w:cs="Times New Roman"/>
          <w:sz w:val="21"/>
          <w:szCs w:val="21"/>
          <w:lang w:val="en-GB"/>
        </w:rPr>
        <w:t>öre</w:t>
      </w:r>
      <w:proofErr w:type="spellEnd"/>
      <w:r w:rsidR="00671B62" w:rsidRPr="00671B62">
        <w:rPr>
          <w:rFonts w:ascii="Constantia" w:eastAsia="Calibri" w:hAnsi="Constantia" w:cs="Times New Roman"/>
          <w:sz w:val="21"/>
          <w:szCs w:val="21"/>
          <w:lang w:val="en-GB"/>
        </w:rPr>
        <w:t xml:space="preserve"> (SEK 0.01)) for the Company’s share on Nasdaq First North Growth Market on the trading day prior to the grant of the stock options of series 2022/2032</w:t>
      </w:r>
      <w:r w:rsidRPr="003B6D48">
        <w:rPr>
          <w:rFonts w:ascii="Constantia" w:eastAsia="Calibri" w:hAnsi="Constantia" w:cs="Times New Roman"/>
          <w:sz w:val="21"/>
          <w:szCs w:val="21"/>
          <w:lang w:val="en-GB"/>
        </w:rPr>
        <w:t xml:space="preserve">. The subscription price and the number of shares for which each </w:t>
      </w:r>
      <w:r w:rsidR="003B44B2" w:rsidRPr="003B6D48">
        <w:rPr>
          <w:rFonts w:ascii="Constantia" w:eastAsia="Calibri" w:hAnsi="Constantia" w:cs="Times New Roman"/>
          <w:sz w:val="21"/>
          <w:szCs w:val="21"/>
          <w:lang w:val="en-GB"/>
        </w:rPr>
        <w:t>warrant</w:t>
      </w:r>
      <w:r w:rsidRPr="003B6D48">
        <w:rPr>
          <w:rFonts w:ascii="Constantia" w:eastAsia="Calibri" w:hAnsi="Constantia" w:cs="Times New Roman"/>
          <w:sz w:val="21"/>
          <w:szCs w:val="21"/>
          <w:lang w:val="en-GB"/>
        </w:rPr>
        <w:t xml:space="preserve"> entitles the holder to subscribe may be subject to recalculation pursuant to a bonus issue, share split, new issue with preferential rights and similar measures, whereby conventional terms and conditions for recalculation shall be applied.</w:t>
      </w:r>
    </w:p>
    <w:p w14:paraId="08A81130" w14:textId="79B8AC04" w:rsidR="00494437" w:rsidRPr="003B6D48" w:rsidRDefault="009A55EB" w:rsidP="00472813">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Subscription of shares in the </w:t>
      </w:r>
      <w:r w:rsidR="00FF4739" w:rsidRPr="003B6D48">
        <w:rPr>
          <w:rFonts w:ascii="Constantia" w:eastAsia="Calibri" w:hAnsi="Constantia" w:cs="Times New Roman"/>
          <w:sz w:val="21"/>
          <w:szCs w:val="21"/>
          <w:lang w:val="en-GB"/>
        </w:rPr>
        <w:t>C</w:t>
      </w:r>
      <w:r w:rsidRPr="003B6D48">
        <w:rPr>
          <w:rFonts w:ascii="Constantia" w:eastAsia="Calibri" w:hAnsi="Constantia" w:cs="Times New Roman"/>
          <w:sz w:val="21"/>
          <w:szCs w:val="21"/>
          <w:lang w:val="en-GB"/>
        </w:rPr>
        <w:t xml:space="preserve">ompany by virtue of the warrants shall be made </w:t>
      </w:r>
      <w:r w:rsidR="00C829FC">
        <w:rPr>
          <w:rFonts w:ascii="Constantia" w:eastAsia="Calibri" w:hAnsi="Constantia" w:cs="Times New Roman"/>
          <w:sz w:val="21"/>
          <w:szCs w:val="21"/>
          <w:lang w:val="en-GB"/>
        </w:rPr>
        <w:t xml:space="preserve">during the </w:t>
      </w:r>
      <w:r w:rsidR="00C829FC" w:rsidRPr="0071307F">
        <w:rPr>
          <w:rFonts w:ascii="Constantia" w:eastAsia="Calibri" w:hAnsi="Constantia" w:cs="Times New Roman"/>
          <w:sz w:val="21"/>
          <w:szCs w:val="21"/>
          <w:lang w:val="en-GB"/>
        </w:rPr>
        <w:t>period</w:t>
      </w:r>
      <w:r w:rsidR="0071307F" w:rsidRPr="0071307F">
        <w:rPr>
          <w:rFonts w:ascii="Constantia" w:eastAsia="Calibri" w:hAnsi="Constantia" w:cs="Times New Roman"/>
          <w:sz w:val="21"/>
          <w:szCs w:val="21"/>
          <w:lang w:val="en-GB"/>
        </w:rPr>
        <w:t xml:space="preserve"> </w:t>
      </w:r>
      <w:r w:rsidR="00C829FC" w:rsidRPr="0071307F">
        <w:rPr>
          <w:rFonts w:ascii="Constantia" w:eastAsia="Calibri" w:hAnsi="Constantia" w:cs="Times New Roman"/>
          <w:sz w:val="21"/>
          <w:szCs w:val="21"/>
          <w:lang w:val="en-GB"/>
        </w:rPr>
        <w:t xml:space="preserve">from and including </w:t>
      </w:r>
      <w:r w:rsidR="008F0C46" w:rsidRPr="008F0C46">
        <w:rPr>
          <w:rFonts w:ascii="Constantia" w:eastAsia="Calibri" w:hAnsi="Constantia" w:cs="Times New Roman"/>
          <w:sz w:val="21"/>
          <w:szCs w:val="21"/>
          <w:lang w:val="en-GB"/>
        </w:rPr>
        <w:t xml:space="preserve">30 June 2023 </w:t>
      </w:r>
      <w:r w:rsidR="00C829FC" w:rsidRPr="0071307F">
        <w:rPr>
          <w:rFonts w:ascii="Constantia" w:eastAsia="Calibri" w:hAnsi="Constantia" w:cs="Times New Roman"/>
          <w:sz w:val="21"/>
          <w:szCs w:val="21"/>
          <w:lang w:val="en-GB"/>
        </w:rPr>
        <w:t>up to</w:t>
      </w:r>
      <w:r w:rsidR="0071307F" w:rsidRPr="0071307F">
        <w:rPr>
          <w:rFonts w:ascii="Constantia" w:eastAsia="Calibri" w:hAnsi="Constantia" w:cs="Times New Roman"/>
          <w:sz w:val="21"/>
          <w:szCs w:val="21"/>
          <w:lang w:val="en-GB"/>
        </w:rPr>
        <w:t xml:space="preserve"> and including</w:t>
      </w:r>
      <w:r w:rsidR="00C829FC" w:rsidRPr="0071307F">
        <w:rPr>
          <w:rFonts w:ascii="Constantia" w:eastAsia="Calibri" w:hAnsi="Constantia" w:cs="Times New Roman"/>
          <w:sz w:val="21"/>
          <w:szCs w:val="21"/>
          <w:lang w:val="en-GB"/>
        </w:rPr>
        <w:t xml:space="preserve"> </w:t>
      </w:r>
      <w:r w:rsidR="0071307F" w:rsidRPr="0071307F">
        <w:rPr>
          <w:rFonts w:ascii="Constantia" w:eastAsia="Calibri" w:hAnsi="Constantia" w:cs="Times New Roman"/>
          <w:sz w:val="21"/>
          <w:szCs w:val="21"/>
          <w:lang w:val="en-GB"/>
        </w:rPr>
        <w:t>30 June 2032</w:t>
      </w:r>
      <w:r w:rsidR="00E72E21" w:rsidRPr="0071307F">
        <w:rPr>
          <w:rFonts w:ascii="Constantia" w:eastAsia="Calibri" w:hAnsi="Constantia" w:cs="Times New Roman"/>
          <w:sz w:val="21"/>
          <w:szCs w:val="21"/>
          <w:lang w:val="en-GB"/>
        </w:rPr>
        <w:t xml:space="preserve">. </w:t>
      </w:r>
      <w:r w:rsidR="00065F2E" w:rsidRPr="0071307F">
        <w:rPr>
          <w:rFonts w:ascii="Constantia" w:eastAsia="Calibri" w:hAnsi="Constantia" w:cs="Times New Roman"/>
          <w:sz w:val="21"/>
          <w:szCs w:val="21"/>
          <w:lang w:val="en-GB"/>
        </w:rPr>
        <w:t>The share</w:t>
      </w:r>
      <w:r w:rsidR="00065F2E" w:rsidRPr="003B6D48">
        <w:rPr>
          <w:rFonts w:ascii="Constantia" w:eastAsia="Calibri" w:hAnsi="Constantia" w:cs="Times New Roman"/>
          <w:sz w:val="21"/>
          <w:szCs w:val="21"/>
          <w:lang w:val="en-GB"/>
        </w:rPr>
        <w:t xml:space="preserve"> premium shall be transferred to the unrestricted premium reserve.</w:t>
      </w:r>
    </w:p>
    <w:p w14:paraId="32A81583" w14:textId="5FC2CD77" w:rsidR="00494437" w:rsidRPr="003B6D48" w:rsidRDefault="009A55EB" w:rsidP="00472813">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Shares issued following exercise of </w:t>
      </w:r>
      <w:r w:rsidR="008C4D4B">
        <w:rPr>
          <w:rFonts w:ascii="Constantia" w:eastAsia="Calibri" w:hAnsi="Constantia" w:cs="Times New Roman"/>
          <w:sz w:val="21"/>
          <w:szCs w:val="21"/>
          <w:lang w:val="en-GB"/>
        </w:rPr>
        <w:t>warrants</w:t>
      </w:r>
      <w:r w:rsidRPr="003B6D48">
        <w:rPr>
          <w:rFonts w:ascii="Constantia" w:eastAsia="Calibri" w:hAnsi="Constantia" w:cs="Times New Roman"/>
          <w:sz w:val="21"/>
          <w:szCs w:val="21"/>
          <w:lang w:val="en-GB"/>
        </w:rPr>
        <w:t xml:space="preserve"> during a certain financial year shall</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entitle to dividend for the first time on the record day for dividend which occurs</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following registration of the shares with the Swedish Companies Registration</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Office.</w:t>
      </w:r>
    </w:p>
    <w:p w14:paraId="754E0978" w14:textId="2A493735" w:rsidR="00494437" w:rsidRPr="003B6D48" w:rsidRDefault="009A55EB" w:rsidP="00472813">
      <w:pPr>
        <w:pStyle w:val="Listtyp1niv1"/>
        <w:numPr>
          <w:ilvl w:val="5"/>
          <w:numId w:val="29"/>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complete terms and conditions for the warrants are set out in </w:t>
      </w:r>
      <w:r w:rsidR="00C5583D" w:rsidRPr="003B6D48">
        <w:rPr>
          <w:rFonts w:ascii="Constantia" w:eastAsia="Calibri" w:hAnsi="Constantia" w:cs="Times New Roman"/>
          <w:sz w:val="21"/>
          <w:szCs w:val="21"/>
          <w:lang w:val="en-GB"/>
        </w:rPr>
        <w:t>“</w:t>
      </w:r>
      <w:r w:rsidR="00C5583D" w:rsidRPr="003B6D48">
        <w:rPr>
          <w:rFonts w:ascii="Constantia" w:eastAsia="Calibri" w:hAnsi="Constantia" w:cs="Times New Roman"/>
          <w:i/>
          <w:iCs/>
          <w:sz w:val="21"/>
          <w:szCs w:val="21"/>
          <w:lang w:val="en-GB"/>
        </w:rPr>
        <w:t xml:space="preserve">Terms and conditions for </w:t>
      </w:r>
      <w:r w:rsidR="00BA78A9" w:rsidRPr="003B6D48">
        <w:rPr>
          <w:rFonts w:ascii="Constantia" w:eastAsia="Calibri" w:hAnsi="Constantia" w:cs="Times New Roman"/>
          <w:i/>
          <w:iCs/>
          <w:sz w:val="21"/>
          <w:szCs w:val="21"/>
          <w:lang w:val="en-GB"/>
        </w:rPr>
        <w:t>Wyld Networks AB</w:t>
      </w:r>
      <w:r w:rsidR="00C5583D" w:rsidRPr="003B6D48">
        <w:rPr>
          <w:rFonts w:ascii="Constantia" w:eastAsia="Calibri" w:hAnsi="Constantia" w:cs="Times New Roman"/>
          <w:i/>
          <w:iCs/>
          <w:sz w:val="21"/>
          <w:szCs w:val="21"/>
          <w:lang w:val="en-GB"/>
        </w:rPr>
        <w:t xml:space="preserve"> warrants 202</w:t>
      </w:r>
      <w:r w:rsidR="00E72E21" w:rsidRPr="003B6D48">
        <w:rPr>
          <w:rFonts w:ascii="Constantia" w:eastAsia="Calibri" w:hAnsi="Constantia" w:cs="Times New Roman"/>
          <w:i/>
          <w:iCs/>
          <w:sz w:val="21"/>
          <w:szCs w:val="21"/>
          <w:lang w:val="en-GB"/>
        </w:rPr>
        <w:t>2</w:t>
      </w:r>
      <w:r w:rsidR="00C5583D" w:rsidRPr="003B6D48">
        <w:rPr>
          <w:rFonts w:ascii="Constantia" w:eastAsia="Calibri" w:hAnsi="Constantia" w:cs="Times New Roman"/>
          <w:i/>
          <w:iCs/>
          <w:sz w:val="21"/>
          <w:szCs w:val="21"/>
          <w:lang w:val="en-GB"/>
        </w:rPr>
        <w:t>/20</w:t>
      </w:r>
      <w:r w:rsidR="006B4BCF">
        <w:rPr>
          <w:rFonts w:ascii="Constantia" w:eastAsia="Calibri" w:hAnsi="Constantia" w:cs="Times New Roman"/>
          <w:i/>
          <w:iCs/>
          <w:sz w:val="21"/>
          <w:szCs w:val="21"/>
          <w:lang w:val="en-GB"/>
        </w:rPr>
        <w:t>32</w:t>
      </w:r>
      <w:r w:rsidR="00C5583D" w:rsidRPr="003B6D48">
        <w:rPr>
          <w:rFonts w:ascii="Constantia" w:eastAsia="Calibri" w:hAnsi="Constantia" w:cs="Times New Roman"/>
          <w:sz w:val="21"/>
          <w:szCs w:val="21"/>
          <w:lang w:val="en-GB"/>
        </w:rPr>
        <w:t>”.</w:t>
      </w:r>
    </w:p>
    <w:p w14:paraId="4DCE3A5A" w14:textId="1A691C78" w:rsidR="00494437" w:rsidRPr="003B6D48" w:rsidRDefault="009A55EB" w:rsidP="00494437">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reason for the deviation from the shareholders’ preferential right is that the issue</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forms part of the implementation of Option Program 20</w:t>
      </w:r>
      <w:r w:rsidR="00472813" w:rsidRPr="003B6D48">
        <w:rPr>
          <w:rFonts w:ascii="Constantia" w:eastAsia="Calibri" w:hAnsi="Constantia" w:cs="Times New Roman"/>
          <w:sz w:val="21"/>
          <w:szCs w:val="21"/>
          <w:lang w:val="en-GB"/>
        </w:rPr>
        <w:t>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In view of what is set</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 xml:space="preserve">forth under </w:t>
      </w:r>
      <w:r w:rsidR="00131090" w:rsidRPr="003B6D48">
        <w:rPr>
          <w:rFonts w:ascii="Constantia" w:eastAsia="Calibri" w:hAnsi="Constantia" w:cs="Times New Roman"/>
          <w:sz w:val="21"/>
          <w:szCs w:val="21"/>
          <w:lang w:val="en-GB"/>
        </w:rPr>
        <w:t>B</w:t>
      </w:r>
      <w:r w:rsidRPr="003B6D48">
        <w:rPr>
          <w:rFonts w:ascii="Constantia" w:eastAsia="Calibri" w:hAnsi="Constantia" w:cs="Times New Roman"/>
          <w:sz w:val="21"/>
          <w:szCs w:val="21"/>
          <w:lang w:val="en-GB"/>
        </w:rPr>
        <w:t xml:space="preserve">ackground and </w:t>
      </w:r>
      <w:r w:rsidR="00344854" w:rsidRPr="003B6D48">
        <w:rPr>
          <w:rFonts w:ascii="Constantia" w:eastAsia="Calibri" w:hAnsi="Constantia" w:cs="Times New Roman"/>
          <w:sz w:val="21"/>
          <w:szCs w:val="21"/>
          <w:lang w:val="en-GB"/>
        </w:rPr>
        <w:t>reasons</w:t>
      </w:r>
      <w:r w:rsidRPr="003B6D48">
        <w:rPr>
          <w:rFonts w:ascii="Constantia" w:eastAsia="Calibri" w:hAnsi="Constantia" w:cs="Times New Roman"/>
          <w:sz w:val="21"/>
          <w:szCs w:val="21"/>
          <w:lang w:val="en-GB"/>
        </w:rPr>
        <w:t xml:space="preserve"> above, the </w:t>
      </w:r>
      <w:r w:rsidR="00472813" w:rsidRPr="003B6D48">
        <w:rPr>
          <w:rFonts w:ascii="Constantia" w:eastAsia="Calibri" w:hAnsi="Constantia" w:cs="Times New Roman"/>
          <w:sz w:val="21"/>
          <w:szCs w:val="21"/>
          <w:lang w:val="en-GB"/>
        </w:rPr>
        <w:t>board of directors</w:t>
      </w:r>
      <w:r w:rsidRPr="003B6D48">
        <w:rPr>
          <w:rFonts w:ascii="Constantia" w:eastAsia="Calibri" w:hAnsi="Constantia" w:cs="Times New Roman"/>
          <w:sz w:val="21"/>
          <w:szCs w:val="21"/>
          <w:lang w:val="en-GB"/>
        </w:rPr>
        <w:t xml:space="preserve"> is of the opinion that it is of</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 xml:space="preserve">benefit to </w:t>
      </w:r>
      <w:r w:rsidR="00472813" w:rsidRPr="003B6D48">
        <w:rPr>
          <w:rFonts w:ascii="Constantia" w:eastAsia="Calibri" w:hAnsi="Constantia" w:cs="Times New Roman"/>
          <w:sz w:val="21"/>
          <w:szCs w:val="21"/>
          <w:lang w:val="en-GB"/>
        </w:rPr>
        <w:t xml:space="preserve">the Company </w:t>
      </w:r>
      <w:r w:rsidRPr="003B6D48">
        <w:rPr>
          <w:rFonts w:ascii="Constantia" w:eastAsia="Calibri" w:hAnsi="Constantia" w:cs="Times New Roman"/>
          <w:sz w:val="21"/>
          <w:szCs w:val="21"/>
          <w:lang w:val="en-GB"/>
        </w:rPr>
        <w:t xml:space="preserve">and its shareholders that </w:t>
      </w:r>
      <w:r w:rsidR="00131090" w:rsidRPr="003B6D48">
        <w:rPr>
          <w:rFonts w:ascii="Constantia" w:eastAsia="Calibri" w:hAnsi="Constantia" w:cs="Times New Roman"/>
          <w:sz w:val="21"/>
          <w:szCs w:val="21"/>
          <w:lang w:val="en-GB"/>
        </w:rPr>
        <w:t>the employees of the group</w:t>
      </w:r>
      <w:r w:rsidRPr="003B6D48">
        <w:rPr>
          <w:rFonts w:ascii="Constantia" w:eastAsia="Calibri" w:hAnsi="Constantia" w:cs="Times New Roman"/>
          <w:sz w:val="21"/>
          <w:szCs w:val="21"/>
          <w:lang w:val="en-GB"/>
        </w:rPr>
        <w:t xml:space="preserve"> are</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offered to participate in Option Program 20</w:t>
      </w:r>
      <w:r w:rsidR="00472813" w:rsidRPr="003B6D48">
        <w:rPr>
          <w:rFonts w:ascii="Constantia" w:eastAsia="Calibri" w:hAnsi="Constantia" w:cs="Times New Roman"/>
          <w:sz w:val="21"/>
          <w:szCs w:val="21"/>
          <w:lang w:val="en-GB"/>
        </w:rPr>
        <w:t>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w:t>
      </w:r>
    </w:p>
    <w:p w14:paraId="7BA16EFA" w14:textId="3D95D0E2" w:rsidR="00494437" w:rsidRPr="003B6D48" w:rsidRDefault="009A55EB" w:rsidP="00494437">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w:t>
      </w:r>
      <w:r w:rsidR="00472813" w:rsidRPr="003B6D48">
        <w:rPr>
          <w:rFonts w:ascii="Constantia" w:eastAsia="Calibri" w:hAnsi="Constantia" w:cs="Times New Roman"/>
          <w:sz w:val="21"/>
          <w:szCs w:val="21"/>
          <w:lang w:val="en-GB"/>
        </w:rPr>
        <w:t xml:space="preserve">board of directors </w:t>
      </w:r>
      <w:r w:rsidRPr="003B6D48">
        <w:rPr>
          <w:rFonts w:ascii="Constantia" w:eastAsia="Calibri" w:hAnsi="Constantia" w:cs="Times New Roman"/>
          <w:sz w:val="21"/>
          <w:szCs w:val="21"/>
          <w:lang w:val="en-GB"/>
        </w:rPr>
        <w:t xml:space="preserve">further proposes that the </w:t>
      </w:r>
      <w:r w:rsidR="00F57D3E" w:rsidRPr="003B6D48">
        <w:rPr>
          <w:rFonts w:ascii="Constantia" w:eastAsia="Calibri" w:hAnsi="Constantia" w:cs="Times New Roman"/>
          <w:sz w:val="21"/>
          <w:szCs w:val="21"/>
          <w:lang w:val="en-GB"/>
        </w:rPr>
        <w:t xml:space="preserve">annual </w:t>
      </w:r>
      <w:r w:rsidRPr="003B6D48">
        <w:rPr>
          <w:rFonts w:ascii="Constantia" w:eastAsia="Calibri" w:hAnsi="Constantia" w:cs="Times New Roman"/>
          <w:sz w:val="21"/>
          <w:szCs w:val="21"/>
          <w:lang w:val="en-GB"/>
        </w:rPr>
        <w:t xml:space="preserve">general meeting resolves to approve that </w:t>
      </w:r>
      <w:r w:rsidR="00E72E21" w:rsidRPr="003B6D48">
        <w:rPr>
          <w:rFonts w:ascii="Constantia" w:eastAsia="Calibri" w:hAnsi="Constantia" w:cs="Times New Roman"/>
          <w:sz w:val="21"/>
          <w:szCs w:val="21"/>
          <w:lang w:val="en-GB"/>
        </w:rPr>
        <w:t>the Company</w:t>
      </w:r>
      <w:r w:rsidRPr="003B6D48">
        <w:rPr>
          <w:rFonts w:ascii="Constantia" w:eastAsia="Calibri" w:hAnsi="Constantia" w:cs="Times New Roman"/>
          <w:sz w:val="21"/>
          <w:szCs w:val="21"/>
          <w:lang w:val="en-GB"/>
        </w:rPr>
        <w:t xml:space="preserve"> transfers warrants to participants in Option Program 20</w:t>
      </w:r>
      <w:r w:rsidR="00472813" w:rsidRPr="003B6D48">
        <w:rPr>
          <w:rFonts w:ascii="Constantia" w:eastAsia="Calibri" w:hAnsi="Constantia" w:cs="Times New Roman"/>
          <w:sz w:val="21"/>
          <w:szCs w:val="21"/>
          <w:lang w:val="en-GB"/>
        </w:rPr>
        <w:t>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6B4BCF">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w:t>
      </w:r>
    </w:p>
    <w:p w14:paraId="7B2B5651" w14:textId="77777777" w:rsidR="00D520B0" w:rsidRPr="003B6D48" w:rsidRDefault="009A55EB" w:rsidP="00494437">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Finally, the </w:t>
      </w:r>
      <w:r w:rsidR="00472813" w:rsidRPr="003B6D48">
        <w:rPr>
          <w:rFonts w:ascii="Constantia" w:eastAsia="Calibri" w:hAnsi="Constantia" w:cs="Times New Roman"/>
          <w:sz w:val="21"/>
          <w:szCs w:val="21"/>
          <w:lang w:val="en-GB"/>
        </w:rPr>
        <w:t xml:space="preserve">board of directors </w:t>
      </w:r>
      <w:r w:rsidRPr="003B6D48">
        <w:rPr>
          <w:rFonts w:ascii="Constantia" w:eastAsia="Calibri" w:hAnsi="Constantia" w:cs="Times New Roman"/>
          <w:sz w:val="21"/>
          <w:szCs w:val="21"/>
          <w:lang w:val="en-GB"/>
        </w:rPr>
        <w:t xml:space="preserve">proposes that the </w:t>
      </w:r>
      <w:r w:rsidR="00472813" w:rsidRPr="003B6D48">
        <w:rPr>
          <w:rFonts w:ascii="Constantia" w:eastAsia="Calibri" w:hAnsi="Constantia" w:cs="Times New Roman"/>
          <w:sz w:val="21"/>
          <w:szCs w:val="21"/>
          <w:lang w:val="en-GB"/>
        </w:rPr>
        <w:t>board of directors</w:t>
      </w:r>
      <w:r w:rsidRPr="003B6D48">
        <w:rPr>
          <w:rFonts w:ascii="Constantia" w:eastAsia="Calibri" w:hAnsi="Constantia" w:cs="Times New Roman"/>
          <w:sz w:val="21"/>
          <w:szCs w:val="21"/>
          <w:lang w:val="en-GB"/>
        </w:rPr>
        <w:t xml:space="preserve">, or anyone appointed by the </w:t>
      </w:r>
      <w:r w:rsidR="00472813" w:rsidRPr="003B6D48">
        <w:rPr>
          <w:rFonts w:ascii="Constantia" w:eastAsia="Calibri" w:hAnsi="Constantia" w:cs="Times New Roman"/>
          <w:sz w:val="21"/>
          <w:szCs w:val="21"/>
          <w:lang w:val="en-GB"/>
        </w:rPr>
        <w:t>board of directors</w:t>
      </w:r>
      <w:r w:rsidRPr="003B6D48">
        <w:rPr>
          <w:rFonts w:ascii="Constantia" w:eastAsia="Calibri" w:hAnsi="Constantia" w:cs="Times New Roman"/>
          <w:sz w:val="21"/>
          <w:szCs w:val="21"/>
          <w:lang w:val="en-GB"/>
        </w:rPr>
        <w:t>, should be</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authorised to make such minor adjustments to the above proposal that may be necessary</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in connection with the registration procedures with the Swedish Companies Registration</w:t>
      </w:r>
      <w:r w:rsidR="00472813"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Office, and possible registration of the warrants with Euroclear.</w:t>
      </w:r>
    </w:p>
    <w:p w14:paraId="489B5809" w14:textId="77777777" w:rsidR="00C578EE" w:rsidRDefault="009A55EB" w:rsidP="00C578EE">
      <w:pPr>
        <w:keepNext/>
        <w:spacing w:before="200" w:after="100" w:line="276" w:lineRule="auto"/>
        <w:jc w:val="left"/>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Costs</w:t>
      </w:r>
    </w:p>
    <w:p w14:paraId="0A8D3FCB" w14:textId="696BAABA" w:rsidR="00CD146A" w:rsidRPr="00F35377" w:rsidRDefault="009A55EB" w:rsidP="00CD146A">
      <w:pPr>
        <w:pStyle w:val="NormalWeb"/>
        <w:shd w:val="clear" w:color="auto" w:fill="FFFFFF"/>
        <w:spacing w:after="300"/>
        <w:rPr>
          <w:rFonts w:ascii="Constantia" w:hAnsi="Constantia" w:cstheme="minorHAnsi"/>
          <w:color w:val="262626"/>
          <w:sz w:val="21"/>
          <w:szCs w:val="21"/>
          <w:lang w:val="en-US"/>
        </w:rPr>
      </w:pPr>
      <w:bookmarkStart w:id="2" w:name="_Hlk102382986"/>
      <w:r w:rsidRPr="00F35377">
        <w:rPr>
          <w:rFonts w:ascii="Constantia" w:hAnsi="Constantia" w:cstheme="minorHAnsi"/>
          <w:color w:val="262626"/>
          <w:sz w:val="21"/>
          <w:szCs w:val="21"/>
          <w:lang w:val="en-US"/>
        </w:rPr>
        <w:t xml:space="preserve">Whilst the Company remains a qualifying company for the purposes of </w:t>
      </w:r>
      <w:r w:rsidR="00A605C0" w:rsidRPr="00F35377">
        <w:rPr>
          <w:rFonts w:ascii="Constantia" w:hAnsi="Constantia" w:cstheme="minorHAnsi"/>
          <w:color w:val="262626"/>
          <w:sz w:val="21"/>
          <w:szCs w:val="21"/>
          <w:lang w:val="en-US"/>
        </w:rPr>
        <w:t xml:space="preserve">Schedule 5 of the UK Income Tax (Earnings and Pensions) Act 2003 in relation to grant of </w:t>
      </w:r>
      <w:r w:rsidRPr="00F35377">
        <w:rPr>
          <w:rFonts w:ascii="Constantia" w:hAnsi="Constantia" w:cstheme="minorHAnsi"/>
          <w:color w:val="262626"/>
          <w:sz w:val="21"/>
          <w:szCs w:val="21"/>
          <w:lang w:val="en-US"/>
        </w:rPr>
        <w:t>Enterprise Management Incentive Share Option</w:t>
      </w:r>
      <w:r w:rsidR="00A605C0" w:rsidRPr="00F35377">
        <w:rPr>
          <w:rFonts w:ascii="Constantia" w:hAnsi="Constantia" w:cstheme="minorHAnsi"/>
          <w:color w:val="262626"/>
          <w:sz w:val="21"/>
          <w:szCs w:val="21"/>
          <w:lang w:val="en-US"/>
        </w:rPr>
        <w:t>s</w:t>
      </w:r>
      <w:r w:rsidRPr="00F35377">
        <w:rPr>
          <w:rFonts w:ascii="Constantia" w:hAnsi="Constantia" w:cstheme="minorHAnsi"/>
          <w:color w:val="262626"/>
          <w:sz w:val="21"/>
          <w:szCs w:val="21"/>
          <w:lang w:val="en-US"/>
        </w:rPr>
        <w:t xml:space="preserve">, no income tax or social security contributions will arise in connection with the </w:t>
      </w:r>
      <w:r w:rsidR="00A5342F">
        <w:rPr>
          <w:rFonts w:ascii="Constantia" w:hAnsi="Constantia" w:cstheme="minorHAnsi"/>
          <w:color w:val="262626"/>
          <w:sz w:val="21"/>
          <w:szCs w:val="21"/>
          <w:lang w:val="en-US"/>
        </w:rPr>
        <w:t xml:space="preserve">stock </w:t>
      </w:r>
      <w:r w:rsidRPr="00F35377">
        <w:rPr>
          <w:rFonts w:ascii="Constantia" w:hAnsi="Constantia" w:cstheme="minorHAnsi"/>
          <w:color w:val="262626"/>
          <w:sz w:val="21"/>
          <w:szCs w:val="21"/>
          <w:lang w:val="en-US"/>
        </w:rPr>
        <w:t>options, provided the exercise price is not less than the fair market value of a share at the grant date and no disqualifying events arise during the</w:t>
      </w:r>
      <w:r w:rsidR="00A605C0" w:rsidRPr="00F35377">
        <w:rPr>
          <w:rFonts w:ascii="Constantia" w:hAnsi="Constantia" w:cstheme="minorHAnsi"/>
          <w:color w:val="262626"/>
          <w:sz w:val="21"/>
          <w:szCs w:val="21"/>
          <w:lang w:val="en-US"/>
        </w:rPr>
        <w:t xml:space="preserve"> period in which the stock option remains capable of exercise</w:t>
      </w:r>
      <w:r w:rsidRPr="00F35377">
        <w:rPr>
          <w:rFonts w:ascii="Constantia" w:hAnsi="Constantia" w:cstheme="minorHAnsi"/>
          <w:color w:val="262626"/>
          <w:sz w:val="21"/>
          <w:szCs w:val="21"/>
          <w:lang w:val="en-US"/>
        </w:rPr>
        <w:t xml:space="preserve">. The program requires the holder to indemnify the </w:t>
      </w:r>
      <w:r w:rsidRPr="00F35377">
        <w:rPr>
          <w:rFonts w:ascii="Constantia" w:hAnsi="Constantia" w:cstheme="minorHAnsi"/>
          <w:color w:val="262626"/>
          <w:sz w:val="21"/>
          <w:szCs w:val="21"/>
          <w:lang w:val="en-US"/>
        </w:rPr>
        <w:lastRenderedPageBreak/>
        <w:t xml:space="preserve">Company </w:t>
      </w:r>
      <w:proofErr w:type="gramStart"/>
      <w:r w:rsidRPr="00F35377">
        <w:rPr>
          <w:rFonts w:ascii="Constantia" w:hAnsi="Constantia" w:cstheme="minorHAnsi"/>
          <w:color w:val="262626"/>
          <w:sz w:val="21"/>
          <w:szCs w:val="21"/>
          <w:lang w:val="en-US"/>
        </w:rPr>
        <w:t>in the event that</w:t>
      </w:r>
      <w:proofErr w:type="gramEnd"/>
      <w:r w:rsidRPr="00F35377">
        <w:rPr>
          <w:rFonts w:ascii="Constantia" w:hAnsi="Constantia" w:cstheme="minorHAnsi"/>
          <w:color w:val="262626"/>
          <w:sz w:val="21"/>
          <w:szCs w:val="21"/>
          <w:lang w:val="en-US"/>
        </w:rPr>
        <w:t xml:space="preserve"> any such tax or social security liabilities arise (including those of the employer)</w:t>
      </w:r>
      <w:r w:rsidR="00F35377">
        <w:rPr>
          <w:rFonts w:ascii="Constantia" w:hAnsi="Constantia" w:cstheme="minorHAnsi"/>
          <w:color w:val="262626"/>
          <w:sz w:val="21"/>
          <w:szCs w:val="21"/>
          <w:lang w:val="en-US"/>
        </w:rPr>
        <w:t>.</w:t>
      </w:r>
      <w:r w:rsidR="003B0B4D">
        <w:rPr>
          <w:rFonts w:ascii="Constantia" w:hAnsi="Constantia" w:cstheme="minorHAnsi"/>
          <w:color w:val="262626"/>
          <w:sz w:val="21"/>
          <w:szCs w:val="21"/>
          <w:lang w:val="en-US"/>
        </w:rPr>
        <w:t xml:space="preserve"> </w:t>
      </w:r>
    </w:p>
    <w:p w14:paraId="11E94F8C" w14:textId="0CC325A4" w:rsidR="005E12A6" w:rsidRPr="005E12A6" w:rsidRDefault="005E12A6" w:rsidP="005E12A6">
      <w:pPr>
        <w:rPr>
          <w:rFonts w:ascii="Constantia" w:eastAsia="Calibri" w:hAnsi="Constantia" w:cs="Times New Roman"/>
          <w:sz w:val="21"/>
          <w:szCs w:val="21"/>
          <w:lang w:val="en-GB"/>
        </w:rPr>
      </w:pPr>
      <w:r w:rsidRPr="005E12A6">
        <w:rPr>
          <w:rFonts w:ascii="Constantia" w:eastAsia="Calibri" w:hAnsi="Constantia" w:cs="Times New Roman"/>
          <w:sz w:val="21"/>
          <w:szCs w:val="21"/>
          <w:lang w:val="en-GB"/>
        </w:rPr>
        <w:t xml:space="preserve">The Option Program 2022/20232 will incur costs for the </w:t>
      </w:r>
      <w:r w:rsidR="00646ACA">
        <w:rPr>
          <w:rFonts w:ascii="Constantia" w:eastAsia="Calibri" w:hAnsi="Constantia" w:cs="Times New Roman"/>
          <w:sz w:val="21"/>
          <w:szCs w:val="21"/>
          <w:lang w:val="en-GB"/>
        </w:rPr>
        <w:t>Wyld Networks group</w:t>
      </w:r>
      <w:r w:rsidRPr="005E12A6">
        <w:rPr>
          <w:rFonts w:ascii="Constantia" w:eastAsia="Calibri" w:hAnsi="Constantia" w:cs="Times New Roman"/>
          <w:sz w:val="21"/>
          <w:szCs w:val="21"/>
          <w:lang w:val="en-GB"/>
        </w:rPr>
        <w:t xml:space="preserve"> in reference to personnel costs from an accounting perspective. Based on the assumption of a share price at the time of allocation of the stock options of SEK </w:t>
      </w:r>
      <w:bookmarkStart w:id="3" w:name="_Hlk102655372"/>
      <w:r w:rsidRPr="005E12A6">
        <w:rPr>
          <w:rFonts w:ascii="Constantia" w:eastAsia="Calibri" w:hAnsi="Constantia" w:cs="Times New Roman"/>
          <w:sz w:val="21"/>
          <w:szCs w:val="21"/>
          <w:lang w:val="en-GB"/>
        </w:rPr>
        <w:t>13.63</w:t>
      </w:r>
      <w:bookmarkEnd w:id="3"/>
      <w:r w:rsidRPr="005E12A6">
        <w:rPr>
          <w:rFonts w:ascii="Constantia" w:eastAsia="Calibri" w:hAnsi="Constantia" w:cs="Times New Roman"/>
          <w:sz w:val="21"/>
          <w:szCs w:val="21"/>
          <w:lang w:val="en-GB"/>
        </w:rPr>
        <w:t xml:space="preserve">, that 100 per cent of the stock options will be exercised meaning that </w:t>
      </w:r>
      <w:bookmarkStart w:id="4" w:name="_Hlk102655386"/>
      <w:r w:rsidRPr="005E12A6">
        <w:rPr>
          <w:rFonts w:ascii="Constantia" w:eastAsia="Calibri" w:hAnsi="Constantia" w:cs="Times New Roman"/>
          <w:sz w:val="21"/>
          <w:szCs w:val="21"/>
          <w:lang w:val="en-GB"/>
        </w:rPr>
        <w:t xml:space="preserve">157,669 </w:t>
      </w:r>
      <w:bookmarkEnd w:id="4"/>
      <w:r w:rsidRPr="005E12A6">
        <w:rPr>
          <w:rFonts w:ascii="Constantia" w:eastAsia="Calibri" w:hAnsi="Constantia" w:cs="Times New Roman"/>
          <w:sz w:val="21"/>
          <w:szCs w:val="21"/>
          <w:lang w:val="en-GB"/>
        </w:rPr>
        <w:t xml:space="preserve">stock options will vest, the personnel cost from an accounting perspective for the Option Program 2022/2032 is estimated to amount to a total of approximately SEK </w:t>
      </w:r>
      <w:bookmarkStart w:id="5" w:name="_Hlk102655401"/>
      <w:r w:rsidRPr="005E12A6">
        <w:rPr>
          <w:rFonts w:ascii="Constantia" w:eastAsia="Calibri" w:hAnsi="Constantia" w:cs="Times New Roman"/>
          <w:sz w:val="21"/>
          <w:szCs w:val="21"/>
          <w:lang w:val="en-GB"/>
        </w:rPr>
        <w:t xml:space="preserve">0.6 </w:t>
      </w:r>
      <w:bookmarkEnd w:id="5"/>
      <w:r w:rsidRPr="005E12A6">
        <w:rPr>
          <w:rFonts w:ascii="Constantia" w:eastAsia="Calibri" w:hAnsi="Constantia" w:cs="Times New Roman"/>
          <w:sz w:val="21"/>
          <w:szCs w:val="21"/>
          <w:lang w:val="en-GB"/>
        </w:rPr>
        <w:t xml:space="preserve">million recognized during the period 2022-2032. Personnel costs do not affect the Company’s cash flow. The stock options do not have a market value since they are not transferable. However, the board of directors has calculated a theoretical value of the stock options using the Black &amp; Scholes valuation model. The calculations have been based on the term of the stock options, the subscription price, an assumed share price of SEK 13.63 per share at the time of allocation of the stock options, a risk-free interest rate of </w:t>
      </w:r>
      <w:bookmarkStart w:id="6" w:name="_Hlk102655459"/>
      <w:r w:rsidRPr="005E12A6">
        <w:rPr>
          <w:rFonts w:ascii="Constantia" w:eastAsia="Calibri" w:hAnsi="Constantia" w:cs="Times New Roman"/>
          <w:sz w:val="21"/>
          <w:szCs w:val="21"/>
          <w:lang w:val="en-GB"/>
        </w:rPr>
        <w:t xml:space="preserve">1.536 </w:t>
      </w:r>
      <w:bookmarkEnd w:id="6"/>
      <w:r w:rsidRPr="005E12A6">
        <w:rPr>
          <w:rFonts w:ascii="Constantia" w:eastAsia="Calibri" w:hAnsi="Constantia" w:cs="Times New Roman"/>
          <w:sz w:val="21"/>
          <w:szCs w:val="21"/>
          <w:lang w:val="en-GB"/>
        </w:rPr>
        <w:t xml:space="preserve">per cent, an assumed volatility of </w:t>
      </w:r>
      <w:bookmarkStart w:id="7" w:name="_Hlk102655469"/>
      <w:r w:rsidRPr="005E12A6">
        <w:rPr>
          <w:rFonts w:ascii="Constantia" w:eastAsia="Calibri" w:hAnsi="Constantia" w:cs="Times New Roman"/>
          <w:sz w:val="21"/>
          <w:szCs w:val="21"/>
          <w:lang w:val="en-GB"/>
        </w:rPr>
        <w:t xml:space="preserve">36.2 </w:t>
      </w:r>
      <w:bookmarkEnd w:id="7"/>
      <w:r w:rsidRPr="005E12A6">
        <w:rPr>
          <w:rFonts w:ascii="Constantia" w:eastAsia="Calibri" w:hAnsi="Constantia" w:cs="Times New Roman"/>
          <w:sz w:val="21"/>
          <w:szCs w:val="21"/>
          <w:lang w:val="en-GB"/>
        </w:rPr>
        <w:t xml:space="preserve">percent, and an expected dividend of </w:t>
      </w:r>
      <w:bookmarkStart w:id="8" w:name="_Hlk102655487"/>
      <w:r w:rsidRPr="005E12A6">
        <w:rPr>
          <w:rFonts w:ascii="Constantia" w:eastAsia="Calibri" w:hAnsi="Constantia" w:cs="Times New Roman"/>
          <w:sz w:val="21"/>
          <w:szCs w:val="21"/>
          <w:lang w:val="en-GB"/>
        </w:rPr>
        <w:t xml:space="preserve">0.0 </w:t>
      </w:r>
      <w:bookmarkEnd w:id="8"/>
      <w:r w:rsidRPr="005E12A6">
        <w:rPr>
          <w:rFonts w:ascii="Constantia" w:eastAsia="Calibri" w:hAnsi="Constantia" w:cs="Times New Roman"/>
          <w:sz w:val="21"/>
          <w:szCs w:val="21"/>
          <w:lang w:val="en-GB"/>
        </w:rPr>
        <w:t xml:space="preserve">per cent. In accordance with this valuation, the value of the options in the Stock Option Program 2022/2032 is approximately SEK 3.50 per option. </w:t>
      </w:r>
    </w:p>
    <w:p w14:paraId="67D4FF26" w14:textId="3E9D5F2A" w:rsidR="00053C5A" w:rsidRPr="005E12A6" w:rsidRDefault="005E12A6" w:rsidP="005E12A6">
      <w:pPr>
        <w:rPr>
          <w:rFonts w:ascii="Constantia" w:eastAsia="Calibri" w:hAnsi="Constantia" w:cs="Times New Roman"/>
          <w:sz w:val="21"/>
          <w:szCs w:val="21"/>
          <w:highlight w:val="yellow"/>
          <w:lang w:val="en-GB"/>
        </w:rPr>
      </w:pPr>
      <w:proofErr w:type="gramStart"/>
      <w:r w:rsidRPr="005E12A6">
        <w:rPr>
          <w:rFonts w:ascii="Constantia" w:eastAsia="Calibri" w:hAnsi="Constantia" w:cs="Times New Roman"/>
          <w:sz w:val="21"/>
          <w:szCs w:val="21"/>
          <w:lang w:val="en-GB"/>
        </w:rPr>
        <w:t>All of</w:t>
      </w:r>
      <w:proofErr w:type="gramEnd"/>
      <w:r w:rsidRPr="005E12A6">
        <w:rPr>
          <w:rFonts w:ascii="Constantia" w:eastAsia="Calibri" w:hAnsi="Constantia" w:cs="Times New Roman"/>
          <w:sz w:val="21"/>
          <w:szCs w:val="21"/>
          <w:lang w:val="en-GB"/>
        </w:rPr>
        <w:t xml:space="preserve"> the calculations above are preliminary and aim only to present an example of the potential costs that the Option Program 2022/2032 may incur. Actual costs may therefore deviate from what has been stated above.</w:t>
      </w:r>
    </w:p>
    <w:bookmarkEnd w:id="2"/>
    <w:p w14:paraId="44FD901B" w14:textId="77777777" w:rsidR="00C578EE" w:rsidRPr="003B6D48" w:rsidRDefault="009A55EB" w:rsidP="00C578EE">
      <w:pPr>
        <w:keepNext/>
        <w:spacing w:before="200" w:after="100" w:line="276" w:lineRule="auto"/>
        <w:jc w:val="left"/>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Dilution and effect on material key ratios</w:t>
      </w:r>
    </w:p>
    <w:p w14:paraId="4E8E289C" w14:textId="2A56FCAB" w:rsidR="00C578EE" w:rsidRPr="003B6D48" w:rsidRDefault="009A55EB" w:rsidP="000D3624">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Option Program 202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3D5603">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comprises the issuance of maximum </w:t>
      </w:r>
      <w:r w:rsidR="00AC278C" w:rsidRPr="00AC278C">
        <w:rPr>
          <w:rFonts w:ascii="Constantia" w:eastAsia="Calibri" w:hAnsi="Constantia" w:cs="Times New Roman"/>
          <w:sz w:val="21"/>
          <w:szCs w:val="21"/>
          <w:lang w:val="en-GB"/>
        </w:rPr>
        <w:t>157,669</w:t>
      </w:r>
      <w:r w:rsidR="00AC278C">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warrants. At full exercise of all issued warrants under Option Program 202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3D5603">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for subscription of new shares, </w:t>
      </w:r>
      <w:r w:rsidR="00AC278C" w:rsidRPr="00AC278C">
        <w:rPr>
          <w:rFonts w:ascii="Constantia" w:eastAsia="Calibri" w:hAnsi="Constantia" w:cs="Times New Roman"/>
          <w:sz w:val="21"/>
          <w:szCs w:val="21"/>
          <w:lang w:val="en-GB"/>
        </w:rPr>
        <w:t>157,669</w:t>
      </w:r>
      <w:r w:rsidR="00E72E21"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 xml:space="preserve">shares will be issued, corresponding to approximately </w:t>
      </w:r>
      <w:r w:rsidR="000C263E">
        <w:rPr>
          <w:rFonts w:ascii="Constantia" w:eastAsia="Calibri" w:hAnsi="Constantia" w:cs="Times New Roman"/>
          <w:sz w:val="21"/>
          <w:szCs w:val="21"/>
          <w:lang w:val="en-GB"/>
        </w:rPr>
        <w:t>1.5</w:t>
      </w:r>
      <w:r w:rsidR="00484C6E" w:rsidRPr="003B6D48">
        <w:rPr>
          <w:rFonts w:ascii="Constantia" w:eastAsia="Calibri" w:hAnsi="Constantia" w:cs="Times New Roman"/>
          <w:sz w:val="21"/>
          <w:szCs w:val="21"/>
          <w:lang w:val="en-GB"/>
        </w:rPr>
        <w:t> </w:t>
      </w:r>
      <w:r w:rsidRPr="003B6D48">
        <w:rPr>
          <w:rFonts w:ascii="Constantia" w:eastAsia="Calibri" w:hAnsi="Constantia" w:cs="Times New Roman"/>
          <w:sz w:val="21"/>
          <w:szCs w:val="21"/>
          <w:lang w:val="en-GB"/>
        </w:rPr>
        <w:t>per</w:t>
      </w:r>
      <w:r w:rsidR="00CF76CC">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t>cent of the shares in the Company.</w:t>
      </w:r>
    </w:p>
    <w:p w14:paraId="3EB8C97B" w14:textId="142FF8F3" w:rsidR="00C578EE" w:rsidRPr="003B6D48" w:rsidRDefault="00B73051" w:rsidP="00D45597">
      <w:pPr>
        <w:rPr>
          <w:rFonts w:ascii="Constantia" w:eastAsia="Calibri" w:hAnsi="Constantia" w:cs="Times New Roman"/>
          <w:sz w:val="21"/>
          <w:szCs w:val="21"/>
          <w:lang w:val="en-GB"/>
        </w:rPr>
      </w:pPr>
      <w:bookmarkStart w:id="9" w:name="_Hlk66911970"/>
      <w:r w:rsidRPr="00B73051">
        <w:rPr>
          <w:rFonts w:ascii="Constantia" w:hAnsi="Constantia"/>
          <w:sz w:val="21"/>
          <w:szCs w:val="21"/>
          <w:lang w:val="en-GB"/>
        </w:rPr>
        <w:t>A</w:t>
      </w:r>
      <w:r w:rsidR="00EC6CC8" w:rsidRPr="00B73051">
        <w:rPr>
          <w:rFonts w:ascii="Constantia" w:hAnsi="Constantia"/>
          <w:sz w:val="21"/>
          <w:szCs w:val="21"/>
          <w:lang w:val="en-GB"/>
        </w:rPr>
        <w:t>t full subscription</w:t>
      </w:r>
      <w:r w:rsidR="0053435D" w:rsidRPr="00B73051">
        <w:rPr>
          <w:rFonts w:ascii="Constantia" w:hAnsi="Constantia"/>
          <w:sz w:val="21"/>
          <w:szCs w:val="21"/>
          <w:lang w:val="en-GB"/>
        </w:rPr>
        <w:t xml:space="preserve"> </w:t>
      </w:r>
      <w:r w:rsidR="0053435D" w:rsidRPr="00B73051">
        <w:rPr>
          <w:rFonts w:ascii="Constantia" w:eastAsia="Calibri" w:hAnsi="Constantia" w:cs="Times New Roman"/>
          <w:sz w:val="21"/>
          <w:szCs w:val="21"/>
          <w:lang w:val="en-GB"/>
        </w:rPr>
        <w:t>and exercise</w:t>
      </w:r>
      <w:r w:rsidR="00EC6CC8" w:rsidRPr="00B73051">
        <w:rPr>
          <w:rFonts w:ascii="Constantia" w:eastAsia="Calibri" w:hAnsi="Constantia" w:cs="Times New Roman"/>
          <w:sz w:val="21"/>
          <w:szCs w:val="21"/>
          <w:lang w:val="en-GB"/>
        </w:rPr>
        <w:t xml:space="preserve"> </w:t>
      </w:r>
      <w:r w:rsidR="00EC6CC8" w:rsidRPr="00B73051">
        <w:rPr>
          <w:rFonts w:ascii="Constantia" w:hAnsi="Constantia"/>
          <w:sz w:val="21"/>
          <w:szCs w:val="21"/>
          <w:lang w:val="en-GB"/>
        </w:rPr>
        <w:t xml:space="preserve">of all the warrants issued with respect to </w:t>
      </w:r>
      <w:r w:rsidR="000C1CF2" w:rsidRPr="00B73051">
        <w:rPr>
          <w:rFonts w:ascii="Constantia" w:hAnsi="Constantia"/>
          <w:sz w:val="21"/>
          <w:szCs w:val="21"/>
          <w:lang w:val="en-GB"/>
        </w:rPr>
        <w:t>Option Program</w:t>
      </w:r>
      <w:r w:rsidR="00EC6CC8" w:rsidRPr="00B73051">
        <w:rPr>
          <w:rFonts w:ascii="Constantia" w:hAnsi="Constantia"/>
          <w:sz w:val="21"/>
          <w:szCs w:val="21"/>
          <w:lang w:val="en-GB"/>
        </w:rPr>
        <w:t xml:space="preserve"> 202</w:t>
      </w:r>
      <w:r w:rsidR="00E72E21" w:rsidRPr="00B73051">
        <w:rPr>
          <w:rFonts w:ascii="Constantia" w:hAnsi="Constantia"/>
          <w:sz w:val="21"/>
          <w:szCs w:val="21"/>
          <w:lang w:val="en-GB"/>
        </w:rPr>
        <w:t>2</w:t>
      </w:r>
      <w:r w:rsidR="00EC6CC8" w:rsidRPr="00B73051">
        <w:rPr>
          <w:rFonts w:ascii="Constantia" w:hAnsi="Constantia"/>
          <w:sz w:val="21"/>
          <w:szCs w:val="21"/>
          <w:lang w:val="en-GB"/>
        </w:rPr>
        <w:t>/</w:t>
      </w:r>
      <w:r w:rsidR="00EC6CC8" w:rsidRPr="00B73051">
        <w:rPr>
          <w:rFonts w:ascii="Constantia" w:eastAsia="Calibri" w:hAnsi="Constantia" w:cs="Times New Roman"/>
          <w:sz w:val="21"/>
          <w:szCs w:val="21"/>
          <w:lang w:val="en-GB"/>
        </w:rPr>
        <w:t>20</w:t>
      </w:r>
      <w:r w:rsidR="003D5603" w:rsidRPr="00B73051">
        <w:rPr>
          <w:rFonts w:ascii="Constantia" w:eastAsia="Calibri" w:hAnsi="Constantia" w:cs="Times New Roman"/>
          <w:sz w:val="21"/>
          <w:szCs w:val="21"/>
          <w:lang w:val="en-GB"/>
        </w:rPr>
        <w:t>32</w:t>
      </w:r>
      <w:r w:rsidR="00EC6CC8" w:rsidRPr="00B73051">
        <w:rPr>
          <w:rFonts w:ascii="Constantia" w:hAnsi="Constantia"/>
          <w:sz w:val="21"/>
          <w:szCs w:val="21"/>
          <w:lang w:val="en-GB"/>
        </w:rPr>
        <w:t xml:space="preserve"> it is the board of director’s opinion that the effect of </w:t>
      </w:r>
      <w:r w:rsidR="007B7D48" w:rsidRPr="00B73051">
        <w:rPr>
          <w:rFonts w:ascii="Constantia" w:hAnsi="Constantia"/>
          <w:sz w:val="21"/>
          <w:szCs w:val="21"/>
          <w:lang w:val="en-GB"/>
        </w:rPr>
        <w:t>Option Program</w:t>
      </w:r>
      <w:r w:rsidR="00EC6CC8" w:rsidRPr="00B73051">
        <w:rPr>
          <w:rFonts w:ascii="Constantia" w:hAnsi="Constantia"/>
          <w:sz w:val="21"/>
          <w:szCs w:val="21"/>
          <w:lang w:val="en-GB"/>
        </w:rPr>
        <w:t xml:space="preserve"> 202</w:t>
      </w:r>
      <w:r w:rsidR="00E72E21" w:rsidRPr="00B73051">
        <w:rPr>
          <w:rFonts w:ascii="Constantia" w:hAnsi="Constantia"/>
          <w:sz w:val="21"/>
          <w:szCs w:val="21"/>
          <w:lang w:val="en-GB"/>
        </w:rPr>
        <w:t>2</w:t>
      </w:r>
      <w:r w:rsidR="00EC6CC8" w:rsidRPr="00B73051">
        <w:rPr>
          <w:rFonts w:ascii="Constantia" w:hAnsi="Constantia"/>
          <w:sz w:val="21"/>
          <w:szCs w:val="21"/>
          <w:lang w:val="en-GB"/>
        </w:rPr>
        <w:t>/</w:t>
      </w:r>
      <w:r w:rsidR="00EC6CC8" w:rsidRPr="00B73051">
        <w:rPr>
          <w:rFonts w:ascii="Constantia" w:eastAsia="Calibri" w:hAnsi="Constantia" w:cs="Times New Roman"/>
          <w:sz w:val="21"/>
          <w:szCs w:val="21"/>
          <w:lang w:val="en-GB"/>
        </w:rPr>
        <w:t>20</w:t>
      </w:r>
      <w:r w:rsidR="003D5603" w:rsidRPr="00B73051">
        <w:rPr>
          <w:rFonts w:ascii="Constantia" w:eastAsia="Calibri" w:hAnsi="Constantia" w:cs="Times New Roman"/>
          <w:sz w:val="21"/>
          <w:szCs w:val="21"/>
          <w:lang w:val="en-GB"/>
        </w:rPr>
        <w:t>32</w:t>
      </w:r>
      <w:r w:rsidR="00EC6CC8" w:rsidRPr="00B73051">
        <w:rPr>
          <w:rFonts w:ascii="Constantia" w:hAnsi="Constantia"/>
          <w:sz w:val="21"/>
          <w:szCs w:val="21"/>
          <w:lang w:val="en-GB"/>
        </w:rPr>
        <w:t xml:space="preserve"> on </w:t>
      </w:r>
      <w:r w:rsidRPr="00B73051">
        <w:rPr>
          <w:rFonts w:ascii="Constantia" w:hAnsi="Constantia"/>
          <w:sz w:val="21"/>
          <w:szCs w:val="21"/>
          <w:lang w:val="en-GB"/>
        </w:rPr>
        <w:t xml:space="preserve">the Wyld Networks groups </w:t>
      </w:r>
      <w:r>
        <w:rPr>
          <w:rFonts w:ascii="Constantia" w:hAnsi="Constantia"/>
          <w:sz w:val="21"/>
          <w:szCs w:val="21"/>
          <w:lang w:val="en-GB"/>
        </w:rPr>
        <w:t xml:space="preserve">material </w:t>
      </w:r>
      <w:r w:rsidR="00EC6CC8" w:rsidRPr="00B73051">
        <w:rPr>
          <w:rFonts w:ascii="Constantia" w:hAnsi="Constantia"/>
          <w:sz w:val="21"/>
          <w:szCs w:val="21"/>
          <w:lang w:val="en-GB"/>
        </w:rPr>
        <w:t>key ratios is marginal</w:t>
      </w:r>
      <w:r w:rsidR="00EC6CC8" w:rsidRPr="00B73051">
        <w:rPr>
          <w:rFonts w:ascii="Constantia" w:eastAsia="Calibri" w:hAnsi="Constantia" w:cs="Times New Roman"/>
          <w:sz w:val="21"/>
          <w:szCs w:val="21"/>
          <w:lang w:val="en-GB"/>
        </w:rPr>
        <w:t>.</w:t>
      </w:r>
      <w:bookmarkEnd w:id="9"/>
      <w:r w:rsidR="00A5342F">
        <w:rPr>
          <w:rFonts w:ascii="Constantia" w:eastAsia="Calibri" w:hAnsi="Constantia" w:cs="Times New Roman"/>
          <w:sz w:val="21"/>
          <w:szCs w:val="21"/>
          <w:lang w:val="en-GB"/>
        </w:rPr>
        <w:t xml:space="preserve"> </w:t>
      </w:r>
    </w:p>
    <w:p w14:paraId="5216413C" w14:textId="77777777" w:rsidR="00C578EE" w:rsidRPr="003B6D48" w:rsidRDefault="009A55EB" w:rsidP="00C578EE">
      <w:pPr>
        <w:keepNext/>
        <w:spacing w:before="200" w:after="100" w:line="276" w:lineRule="auto"/>
        <w:jc w:val="left"/>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Preparation</w:t>
      </w:r>
    </w:p>
    <w:p w14:paraId="3AD17490" w14:textId="3F242331"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proposal for </w:t>
      </w:r>
      <w:r w:rsidR="003516AD"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E72E21"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3D5603">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has been prepared by the board of directors in consultation with external advisers. The proposal has been unanimously adopted by the board of directors. </w:t>
      </w:r>
      <w:r w:rsidR="00364F4A" w:rsidRPr="00364F4A">
        <w:rPr>
          <w:rFonts w:ascii="Constantia" w:eastAsia="Calibri" w:hAnsi="Constantia" w:cs="Times New Roman"/>
          <w:sz w:val="21"/>
          <w:szCs w:val="21"/>
          <w:lang w:val="en-GB"/>
        </w:rPr>
        <w:t>Except for the officials who prepared the matter pursuant to instructions from the board of directors, no employee that may be included in the program has taken part in the drafting thereof.</w:t>
      </w:r>
    </w:p>
    <w:p w14:paraId="10718305" w14:textId="77777777" w:rsidR="00C578EE" w:rsidRPr="003B6D48" w:rsidRDefault="009A55EB" w:rsidP="00C578EE">
      <w:pPr>
        <w:keepNext/>
        <w:spacing w:before="200" w:after="100" w:line="276" w:lineRule="auto"/>
        <w:jc w:val="left"/>
        <w:outlineLvl w:val="2"/>
        <w:rPr>
          <w:rFonts w:ascii="Constantia" w:eastAsia="Times New Roman" w:hAnsi="Constantia" w:cs="Arial"/>
          <w:b/>
          <w:bCs/>
          <w:iCs/>
          <w:kern w:val="32"/>
          <w:sz w:val="21"/>
          <w:szCs w:val="21"/>
          <w:lang w:val="en-GB" w:eastAsia="sv-SE"/>
        </w:rPr>
      </w:pPr>
      <w:r w:rsidRPr="003B6D48">
        <w:rPr>
          <w:rFonts w:ascii="Constantia" w:eastAsia="Times New Roman" w:hAnsi="Constantia" w:cs="Arial"/>
          <w:b/>
          <w:bCs/>
          <w:iCs/>
          <w:kern w:val="32"/>
          <w:sz w:val="21"/>
          <w:szCs w:val="21"/>
          <w:lang w:val="en-GB" w:eastAsia="sv-SE"/>
        </w:rPr>
        <w:t>Majority requirements</w:t>
      </w:r>
    </w:p>
    <w:p w14:paraId="6DBC0DF6" w14:textId="2B0A5E01"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board of directors’ proposal with respect to </w:t>
      </w:r>
      <w:r w:rsidR="003516AD" w:rsidRPr="003B6D48">
        <w:rPr>
          <w:rFonts w:ascii="Constantia" w:eastAsia="Calibri" w:hAnsi="Constantia" w:cs="Times New Roman"/>
          <w:sz w:val="21"/>
          <w:szCs w:val="21"/>
          <w:lang w:val="en-GB"/>
        </w:rPr>
        <w:t>Option Program</w:t>
      </w:r>
      <w:r w:rsidRPr="003B6D48">
        <w:rPr>
          <w:rFonts w:ascii="Constantia" w:eastAsia="Calibri" w:hAnsi="Constantia" w:cs="Times New Roman"/>
          <w:sz w:val="21"/>
          <w:szCs w:val="21"/>
          <w:lang w:val="en-GB"/>
        </w:rPr>
        <w:t xml:space="preserve"> 202</w:t>
      </w:r>
      <w:r w:rsidR="003A7FB3" w:rsidRPr="003B6D48">
        <w:rPr>
          <w:rFonts w:ascii="Constantia" w:eastAsia="Calibri" w:hAnsi="Constantia" w:cs="Times New Roman"/>
          <w:sz w:val="21"/>
          <w:szCs w:val="21"/>
          <w:lang w:val="en-GB"/>
        </w:rPr>
        <w:t>2</w:t>
      </w:r>
      <w:r w:rsidRPr="003B6D48">
        <w:rPr>
          <w:rFonts w:ascii="Constantia" w:eastAsia="Calibri" w:hAnsi="Constantia" w:cs="Times New Roman"/>
          <w:sz w:val="21"/>
          <w:szCs w:val="21"/>
          <w:lang w:val="en-GB"/>
        </w:rPr>
        <w:t>/20</w:t>
      </w:r>
      <w:r w:rsidR="003D5603">
        <w:rPr>
          <w:rFonts w:ascii="Constantia" w:eastAsia="Calibri" w:hAnsi="Constantia" w:cs="Times New Roman"/>
          <w:sz w:val="21"/>
          <w:szCs w:val="21"/>
          <w:lang w:val="en-GB"/>
        </w:rPr>
        <w:t>32</w:t>
      </w:r>
      <w:r w:rsidRPr="003B6D48">
        <w:rPr>
          <w:rFonts w:ascii="Constantia" w:eastAsia="Calibri" w:hAnsi="Constantia" w:cs="Times New Roman"/>
          <w:sz w:val="21"/>
          <w:szCs w:val="21"/>
          <w:lang w:val="en-GB"/>
        </w:rPr>
        <w:t xml:space="preserve"> and the board of directors’ proposal for a directed issue </w:t>
      </w:r>
      <w:r w:rsidR="00C84299" w:rsidRPr="003B6D48">
        <w:rPr>
          <w:rFonts w:ascii="Constantia" w:eastAsia="Calibri" w:hAnsi="Constantia" w:cs="Times New Roman"/>
          <w:sz w:val="21"/>
          <w:szCs w:val="21"/>
          <w:lang w:val="en-GB"/>
        </w:rPr>
        <w:t xml:space="preserve">and transfer </w:t>
      </w:r>
      <w:r w:rsidRPr="003B6D48">
        <w:rPr>
          <w:rFonts w:ascii="Constantia" w:eastAsia="Calibri" w:hAnsi="Constantia" w:cs="Times New Roman"/>
          <w:sz w:val="21"/>
          <w:szCs w:val="21"/>
          <w:lang w:val="en-GB"/>
        </w:rPr>
        <w:t xml:space="preserve">of not more than </w:t>
      </w:r>
      <w:r w:rsidR="00D00F8E" w:rsidRPr="00D00F8E">
        <w:rPr>
          <w:rFonts w:ascii="Constantia" w:eastAsia="Calibri" w:hAnsi="Constantia" w:cs="Times New Roman"/>
          <w:sz w:val="21"/>
          <w:szCs w:val="21"/>
          <w:lang w:val="en-GB"/>
        </w:rPr>
        <w:t>157,669</w:t>
      </w:r>
      <w:r w:rsidR="003516AD" w:rsidRPr="003B6D48">
        <w:rPr>
          <w:rFonts w:ascii="Constantia" w:hAnsi="Constantia" w:cstheme="minorHAnsi"/>
          <w:color w:val="262626"/>
          <w:sz w:val="21"/>
          <w:szCs w:val="21"/>
          <w:lang w:val="en-US"/>
        </w:rPr>
        <w:t xml:space="preserve"> </w:t>
      </w:r>
      <w:r w:rsidRPr="003B6D48">
        <w:rPr>
          <w:rFonts w:ascii="Constantia" w:eastAsia="Calibri" w:hAnsi="Constantia" w:cs="Times New Roman"/>
          <w:sz w:val="21"/>
          <w:szCs w:val="21"/>
          <w:lang w:val="en-GB"/>
        </w:rPr>
        <w:t xml:space="preserve">warrants is a cohesive proposal, why a resolution in accordance with one of the partial proposals shall be conditional upon a resolution in accordance with the other partial proposal and that Chapter 16 of the Companies Act shall be applied on the cohesive proposal. A valid resolution in accordance with the board of director’s proposal requires that it </w:t>
      </w:r>
      <w:proofErr w:type="gramStart"/>
      <w:r w:rsidRPr="003B6D48">
        <w:rPr>
          <w:rFonts w:ascii="Constantia" w:eastAsia="Calibri" w:hAnsi="Constantia" w:cs="Times New Roman"/>
          <w:sz w:val="21"/>
          <w:szCs w:val="21"/>
          <w:lang w:val="en-GB"/>
        </w:rPr>
        <w:t>is</w:t>
      </w:r>
      <w:proofErr w:type="gramEnd"/>
      <w:r w:rsidRPr="003B6D48">
        <w:rPr>
          <w:rFonts w:ascii="Constantia" w:eastAsia="Calibri" w:hAnsi="Constantia" w:cs="Times New Roman"/>
          <w:sz w:val="21"/>
          <w:szCs w:val="21"/>
          <w:lang w:val="en-GB"/>
        </w:rPr>
        <w:t xml:space="preserve"> supported by shareholders representing at least nine tenths of both the number of votes cast and the shares represented at the meeting.</w:t>
      </w:r>
    </w:p>
    <w:p w14:paraId="62708A94" w14:textId="77777777" w:rsidR="00C578EE" w:rsidRPr="003B6D48" w:rsidRDefault="00C578EE" w:rsidP="00C578EE">
      <w:pPr>
        <w:jc w:val="center"/>
        <w:rPr>
          <w:rFonts w:ascii="Constantia" w:eastAsia="Calibri" w:hAnsi="Constantia" w:cs="Times New Roman"/>
          <w:sz w:val="21"/>
          <w:szCs w:val="21"/>
          <w:lang w:val="en-GB"/>
        </w:rPr>
      </w:pPr>
    </w:p>
    <w:p w14:paraId="1281457B" w14:textId="09365F51" w:rsidR="00C578EE" w:rsidRPr="003B6D48" w:rsidRDefault="008C76D0" w:rsidP="00C578EE">
      <w:pPr>
        <w:jc w:val="center"/>
        <w:rPr>
          <w:rFonts w:ascii="Constantia" w:eastAsia="Calibri" w:hAnsi="Constantia" w:cs="Times New Roman"/>
          <w:sz w:val="21"/>
          <w:szCs w:val="21"/>
          <w:lang w:val="en-GB"/>
        </w:rPr>
      </w:pPr>
      <w:r>
        <w:rPr>
          <w:rFonts w:ascii="Constantia" w:eastAsia="Calibri" w:hAnsi="Constantia" w:cs="Times New Roman"/>
          <w:sz w:val="21"/>
          <w:szCs w:val="21"/>
          <w:lang w:val="en-GB"/>
        </w:rPr>
        <w:t>Stockholm</w:t>
      </w:r>
      <w:r w:rsidR="009A55EB" w:rsidRPr="003B6D48">
        <w:rPr>
          <w:rFonts w:ascii="Constantia" w:eastAsia="Calibri" w:hAnsi="Constantia" w:cs="Times New Roman"/>
          <w:sz w:val="21"/>
          <w:szCs w:val="21"/>
          <w:lang w:val="en-GB"/>
        </w:rPr>
        <w:t xml:space="preserve">, </w:t>
      </w:r>
      <w:r w:rsidR="007B6A30">
        <w:rPr>
          <w:rFonts w:ascii="Constantia" w:eastAsia="Calibri" w:hAnsi="Constantia" w:cs="Times New Roman"/>
          <w:sz w:val="21"/>
          <w:szCs w:val="21"/>
          <w:lang w:val="en-GB"/>
        </w:rPr>
        <w:t>May</w:t>
      </w:r>
      <w:r w:rsidR="003A7FB3" w:rsidRPr="003B6D48">
        <w:rPr>
          <w:rFonts w:ascii="Constantia" w:eastAsia="Calibri" w:hAnsi="Constantia" w:cs="Times New Roman"/>
          <w:sz w:val="21"/>
          <w:szCs w:val="21"/>
          <w:lang w:val="en-GB"/>
        </w:rPr>
        <w:t xml:space="preserve"> 2022</w:t>
      </w:r>
    </w:p>
    <w:p w14:paraId="045340E0" w14:textId="77777777" w:rsidR="00C578EE" w:rsidRPr="003B6D48" w:rsidRDefault="009A55EB" w:rsidP="00C578EE">
      <w:pPr>
        <w:keepNext/>
        <w:spacing w:before="200" w:after="100" w:line="276" w:lineRule="auto"/>
        <w:jc w:val="center"/>
        <w:outlineLvl w:val="0"/>
        <w:rPr>
          <w:rFonts w:ascii="Constantia" w:eastAsia="Times New Roman" w:hAnsi="Constantia" w:cs="Arial"/>
          <w:b/>
          <w:bCs/>
          <w:caps/>
          <w:kern w:val="32"/>
          <w:sz w:val="21"/>
          <w:szCs w:val="21"/>
          <w:lang w:val="en-US" w:eastAsia="sv-SE"/>
        </w:rPr>
      </w:pPr>
      <w:r>
        <w:rPr>
          <w:rFonts w:ascii="Constantia" w:eastAsia="Times New Roman" w:hAnsi="Constantia" w:cs="Arial"/>
          <w:b/>
          <w:bCs/>
          <w:kern w:val="32"/>
          <w:sz w:val="21"/>
          <w:szCs w:val="21"/>
          <w:lang w:val="en-US" w:eastAsia="sv-SE"/>
        </w:rPr>
        <w:lastRenderedPageBreak/>
        <w:t>W</w:t>
      </w:r>
      <w:r w:rsidRPr="003B6D48">
        <w:rPr>
          <w:rFonts w:ascii="Constantia" w:eastAsia="Times New Roman" w:hAnsi="Constantia" w:cs="Arial"/>
          <w:b/>
          <w:bCs/>
          <w:kern w:val="32"/>
          <w:sz w:val="21"/>
          <w:szCs w:val="21"/>
          <w:lang w:val="en-US" w:eastAsia="sv-SE"/>
        </w:rPr>
        <w:t xml:space="preserve">yld </w:t>
      </w:r>
      <w:r>
        <w:rPr>
          <w:rFonts w:ascii="Constantia" w:eastAsia="Times New Roman" w:hAnsi="Constantia" w:cs="Arial"/>
          <w:b/>
          <w:bCs/>
          <w:kern w:val="32"/>
          <w:sz w:val="21"/>
          <w:szCs w:val="21"/>
          <w:lang w:val="en-US" w:eastAsia="sv-SE"/>
        </w:rPr>
        <w:t>N</w:t>
      </w:r>
      <w:r w:rsidRPr="003B6D48">
        <w:rPr>
          <w:rFonts w:ascii="Constantia" w:eastAsia="Times New Roman" w:hAnsi="Constantia" w:cs="Arial"/>
          <w:b/>
          <w:bCs/>
          <w:kern w:val="32"/>
          <w:sz w:val="21"/>
          <w:szCs w:val="21"/>
          <w:lang w:val="en-US" w:eastAsia="sv-SE"/>
        </w:rPr>
        <w:t xml:space="preserve">etworks </w:t>
      </w:r>
      <w:r>
        <w:rPr>
          <w:rFonts w:ascii="Constantia" w:eastAsia="Times New Roman" w:hAnsi="Constantia" w:cs="Arial"/>
          <w:b/>
          <w:bCs/>
          <w:kern w:val="32"/>
          <w:sz w:val="21"/>
          <w:szCs w:val="21"/>
          <w:lang w:val="en-US" w:eastAsia="sv-SE"/>
        </w:rPr>
        <w:t>AB</w:t>
      </w:r>
    </w:p>
    <w:p w14:paraId="08EC85E7" w14:textId="77777777" w:rsidR="00C578EE" w:rsidRPr="003B6D48" w:rsidRDefault="009A55EB" w:rsidP="00472813">
      <w:pPr>
        <w:jc w:val="center"/>
        <w:rPr>
          <w:rFonts w:ascii="Constantia" w:eastAsia="Calibri" w:hAnsi="Constantia" w:cs="Times New Roman"/>
          <w:i/>
          <w:iCs/>
          <w:sz w:val="21"/>
          <w:szCs w:val="21"/>
          <w:lang w:val="en-US"/>
        </w:rPr>
      </w:pPr>
      <w:r w:rsidRPr="003B6D48">
        <w:rPr>
          <w:rFonts w:ascii="Constantia" w:eastAsia="Calibri" w:hAnsi="Constantia" w:cs="Times New Roman"/>
          <w:i/>
          <w:iCs/>
          <w:sz w:val="21"/>
          <w:szCs w:val="21"/>
          <w:lang w:val="en-US"/>
        </w:rPr>
        <w:t>The board of directors</w:t>
      </w:r>
    </w:p>
    <w:p w14:paraId="74D9AF0E" w14:textId="77777777" w:rsidR="001A0A46" w:rsidRPr="003B6D48" w:rsidRDefault="009A55EB">
      <w:pPr>
        <w:spacing w:after="200" w:line="276" w:lineRule="auto"/>
        <w:jc w:val="left"/>
        <w:rPr>
          <w:rFonts w:ascii="Constantia" w:eastAsia="Calibri" w:hAnsi="Constantia" w:cs="Times New Roman"/>
          <w:b/>
          <w:sz w:val="21"/>
          <w:szCs w:val="21"/>
          <w:lang w:val="en-US"/>
        </w:rPr>
      </w:pPr>
      <w:r w:rsidRPr="003B6D48">
        <w:rPr>
          <w:rFonts w:ascii="Constantia" w:eastAsia="Calibri" w:hAnsi="Constantia" w:cs="Times New Roman"/>
          <w:b/>
          <w:sz w:val="21"/>
          <w:szCs w:val="21"/>
          <w:lang w:val="en-US"/>
        </w:rPr>
        <w:br w:type="page"/>
      </w:r>
    </w:p>
    <w:p w14:paraId="5E1D9881" w14:textId="77777777" w:rsidR="00C578EE" w:rsidRPr="003B6D48" w:rsidRDefault="009A55EB" w:rsidP="00C578EE">
      <w:pPr>
        <w:jc w:val="right"/>
        <w:rPr>
          <w:rFonts w:ascii="Constantia" w:eastAsia="Calibri" w:hAnsi="Constantia" w:cs="Times New Roman"/>
          <w:b/>
          <w:sz w:val="21"/>
          <w:szCs w:val="21"/>
          <w:lang w:val="en-US"/>
        </w:rPr>
      </w:pPr>
      <w:r w:rsidRPr="003B6D48">
        <w:rPr>
          <w:rFonts w:ascii="Constantia" w:eastAsia="Calibri" w:hAnsi="Constantia" w:cs="Times New Roman"/>
          <w:b/>
          <w:sz w:val="21"/>
          <w:szCs w:val="21"/>
          <w:lang w:val="en-US"/>
        </w:rPr>
        <w:lastRenderedPageBreak/>
        <w:t>Appendix A</w:t>
      </w:r>
    </w:p>
    <w:p w14:paraId="307086C6" w14:textId="05F36C30" w:rsidR="00C578EE" w:rsidRPr="003B6D48" w:rsidRDefault="009A55EB" w:rsidP="00C578EE">
      <w:pPr>
        <w:jc w:val="left"/>
        <w:rPr>
          <w:rFonts w:ascii="Constantia" w:eastAsia="Calibri" w:hAnsi="Constantia" w:cs="Times New Roman"/>
          <w:b/>
          <w:caps/>
          <w:sz w:val="21"/>
          <w:szCs w:val="21"/>
          <w:lang w:val="en-GB"/>
        </w:rPr>
      </w:pPr>
      <w:r w:rsidRPr="003B6D48">
        <w:rPr>
          <w:rFonts w:ascii="Constantia" w:eastAsia="Calibri" w:hAnsi="Constantia" w:cs="Times New Roman"/>
          <w:b/>
          <w:caps/>
          <w:sz w:val="21"/>
          <w:szCs w:val="21"/>
          <w:lang w:val="en-GB"/>
        </w:rPr>
        <w:t xml:space="preserve">Terms and conditions for </w:t>
      </w:r>
      <w:r w:rsidR="003A7FB3" w:rsidRPr="003B6D48">
        <w:rPr>
          <w:rFonts w:ascii="Constantia" w:eastAsia="Calibri" w:hAnsi="Constantia" w:cs="Times New Roman"/>
          <w:b/>
          <w:caps/>
          <w:sz w:val="21"/>
          <w:szCs w:val="21"/>
          <w:lang w:val="en-GB"/>
        </w:rPr>
        <w:t>Wyld Networks AB</w:t>
      </w:r>
      <w:r w:rsidRPr="003B6D48">
        <w:rPr>
          <w:rFonts w:ascii="Constantia" w:eastAsia="Calibri" w:hAnsi="Constantia" w:cs="Times New Roman"/>
          <w:b/>
          <w:caps/>
          <w:sz w:val="21"/>
          <w:szCs w:val="21"/>
          <w:lang w:val="en-GB"/>
        </w:rPr>
        <w:t xml:space="preserve"> warrants </w:t>
      </w:r>
      <w:r w:rsidR="00EC6CC8" w:rsidRPr="003B6D48">
        <w:rPr>
          <w:rFonts w:ascii="Constantia" w:eastAsia="Calibri" w:hAnsi="Constantia" w:cs="Times New Roman"/>
          <w:b/>
          <w:caps/>
          <w:sz w:val="21"/>
          <w:szCs w:val="21"/>
          <w:lang w:val="en-GB"/>
        </w:rPr>
        <w:t>202</w:t>
      </w:r>
      <w:r w:rsidR="003A7FB3" w:rsidRPr="003B6D48">
        <w:rPr>
          <w:rFonts w:ascii="Constantia" w:eastAsia="Calibri" w:hAnsi="Constantia" w:cs="Times New Roman"/>
          <w:b/>
          <w:caps/>
          <w:sz w:val="21"/>
          <w:szCs w:val="21"/>
          <w:lang w:val="en-GB"/>
        </w:rPr>
        <w:t>2/20</w:t>
      </w:r>
      <w:r w:rsidR="00221666">
        <w:rPr>
          <w:rFonts w:ascii="Constantia" w:eastAsia="Calibri" w:hAnsi="Constantia" w:cs="Times New Roman"/>
          <w:b/>
          <w:caps/>
          <w:sz w:val="21"/>
          <w:szCs w:val="21"/>
          <w:lang w:val="en-GB"/>
        </w:rPr>
        <w:t>32</w:t>
      </w:r>
    </w:p>
    <w:p w14:paraId="67EF21B5"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DefinitioNS</w:t>
      </w:r>
    </w:p>
    <w:p w14:paraId="5BED1D68"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In these terms and conditions, the following terms shall have the meanings stated below</w:t>
      </w:r>
      <w:r w:rsidRPr="003B6D48">
        <w:rPr>
          <w:rFonts w:ascii="Constantia" w:eastAsia="Calibri" w:hAnsi="Constantia" w:cs="Times New Roman"/>
          <w:sz w:val="21"/>
          <w:szCs w:val="21"/>
          <w:lang w:val="en-GB"/>
        </w:rPr>
        <w:t>:</w:t>
      </w:r>
    </w:p>
    <w:tbl>
      <w:tblPr>
        <w:tblW w:w="7654" w:type="dxa"/>
        <w:tblInd w:w="921" w:type="dxa"/>
        <w:tblLayout w:type="fixed"/>
        <w:tblCellMar>
          <w:left w:w="70" w:type="dxa"/>
          <w:right w:w="70" w:type="dxa"/>
        </w:tblCellMar>
        <w:tblLook w:val="0000" w:firstRow="0" w:lastRow="0" w:firstColumn="0" w:lastColumn="0" w:noHBand="0" w:noVBand="0"/>
      </w:tblPr>
      <w:tblGrid>
        <w:gridCol w:w="2410"/>
        <w:gridCol w:w="5244"/>
      </w:tblGrid>
      <w:tr w:rsidR="00C81799" w:rsidRPr="004E41F1" w14:paraId="4E27159A" w14:textId="77777777" w:rsidTr="00C578EE">
        <w:tc>
          <w:tcPr>
            <w:tcW w:w="2410" w:type="dxa"/>
          </w:tcPr>
          <w:p w14:paraId="328DF3E7"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banking</w:t>
            </w:r>
            <w:proofErr w:type="gramEnd"/>
            <w:r w:rsidRPr="003B6D48">
              <w:rPr>
                <w:rFonts w:ascii="Constantia" w:eastAsia="Calibri" w:hAnsi="Constantia" w:cs="Times New Roman"/>
                <w:b/>
                <w:sz w:val="21"/>
                <w:szCs w:val="21"/>
                <w:lang w:val="en-GB"/>
              </w:rPr>
              <w:t xml:space="preserve"> day</w:t>
            </w:r>
            <w:r w:rsidRPr="003B6D48">
              <w:rPr>
                <w:rFonts w:ascii="Constantia" w:eastAsia="Calibri" w:hAnsi="Constantia" w:cs="Times New Roman"/>
                <w:sz w:val="21"/>
                <w:szCs w:val="21"/>
                <w:lang w:val="en-GB"/>
              </w:rPr>
              <w:t>”</w:t>
            </w:r>
          </w:p>
        </w:tc>
        <w:tc>
          <w:tcPr>
            <w:tcW w:w="5244" w:type="dxa"/>
          </w:tcPr>
          <w:p w14:paraId="0AD2A596" w14:textId="77777777" w:rsidR="00C578EE" w:rsidRPr="003B6D48" w:rsidRDefault="009A55EB" w:rsidP="00C578EE">
            <w:pPr>
              <w:rPr>
                <w:rFonts w:ascii="Constantia" w:eastAsia="Calibri" w:hAnsi="Constantia" w:cs="Times New Roman"/>
                <w:sz w:val="21"/>
                <w:szCs w:val="21"/>
                <w:lang w:val="en-GB"/>
              </w:rPr>
            </w:pPr>
            <w:r w:rsidRPr="003B6D48">
              <w:rPr>
                <w:rFonts w:ascii="Constantia" w:hAnsi="Constantia"/>
                <w:sz w:val="21"/>
                <w:szCs w:val="21"/>
                <w:lang w:val="en-GB"/>
              </w:rPr>
              <w:t>any day which is not a Sunday or other public holiday, or which, with respect to payment of notes, is not equated with a public holiday in Sweden</w:t>
            </w:r>
            <w:r w:rsidRPr="003B6D48">
              <w:rPr>
                <w:rFonts w:ascii="Constantia" w:eastAsia="Calibri" w:hAnsi="Constantia" w:cs="Times New Roman"/>
                <w:sz w:val="21"/>
                <w:szCs w:val="21"/>
                <w:lang w:val="en-GB"/>
              </w:rPr>
              <w:t>;</w:t>
            </w:r>
          </w:p>
        </w:tc>
      </w:tr>
      <w:tr w:rsidR="00C81799" w:rsidRPr="004E41F1" w14:paraId="77476D18" w14:textId="77777777" w:rsidTr="00C578EE">
        <w:tc>
          <w:tcPr>
            <w:tcW w:w="2410" w:type="dxa"/>
          </w:tcPr>
          <w:p w14:paraId="4C7491EE"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company</w:t>
            </w:r>
            <w:proofErr w:type="gramEnd"/>
            <w:r w:rsidRPr="003B6D48">
              <w:rPr>
                <w:rFonts w:ascii="Constantia" w:eastAsia="Calibri" w:hAnsi="Constantia" w:cs="Times New Roman"/>
                <w:sz w:val="21"/>
                <w:szCs w:val="21"/>
                <w:lang w:val="en-GB"/>
              </w:rPr>
              <w:t>”</w:t>
            </w:r>
          </w:p>
        </w:tc>
        <w:tc>
          <w:tcPr>
            <w:tcW w:w="5244" w:type="dxa"/>
          </w:tcPr>
          <w:p w14:paraId="2F0F4143" w14:textId="77777777"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Wyld Networks AB</w:t>
            </w:r>
            <w:r w:rsidR="00EC6CC8" w:rsidRPr="003B6D48">
              <w:rPr>
                <w:rFonts w:ascii="Constantia" w:eastAsia="Calibri" w:hAnsi="Constantia" w:cs="Times New Roman"/>
                <w:sz w:val="21"/>
                <w:szCs w:val="21"/>
                <w:lang w:val="en-GB"/>
              </w:rPr>
              <w:t xml:space="preserve">, company registration </w:t>
            </w:r>
            <w:r w:rsidR="00701D99" w:rsidRPr="003B6D48">
              <w:rPr>
                <w:rFonts w:ascii="Constantia" w:eastAsia="Calibri" w:hAnsi="Constantia" w:cs="Times New Roman"/>
                <w:sz w:val="21"/>
                <w:szCs w:val="21"/>
                <w:lang w:val="en-GB"/>
              </w:rPr>
              <w:t>number 559307</w:t>
            </w:r>
            <w:r w:rsidRPr="003B6D48">
              <w:rPr>
                <w:rFonts w:ascii="Constantia" w:eastAsia="Calibri" w:hAnsi="Constantia" w:cs="Times New Roman"/>
                <w:sz w:val="21"/>
                <w:szCs w:val="21"/>
                <w:lang w:val="en-GB"/>
              </w:rPr>
              <w:t>-1102</w:t>
            </w:r>
            <w:r w:rsidR="00EC6CC8" w:rsidRPr="003B6D48">
              <w:rPr>
                <w:rFonts w:ascii="Constantia" w:eastAsia="Calibri" w:hAnsi="Constantia" w:cs="Times New Roman"/>
                <w:sz w:val="21"/>
                <w:szCs w:val="21"/>
                <w:lang w:val="en-GB"/>
              </w:rPr>
              <w:t>;</w:t>
            </w:r>
          </w:p>
        </w:tc>
      </w:tr>
      <w:tr w:rsidR="00C81799" w:rsidRPr="004E41F1" w14:paraId="348A7AE6" w14:textId="77777777" w:rsidTr="00C578EE">
        <w:tc>
          <w:tcPr>
            <w:tcW w:w="2410" w:type="dxa"/>
          </w:tcPr>
          <w:p w14:paraId="0A31360C"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Euroclear</w:t>
            </w:r>
            <w:proofErr w:type="gramEnd"/>
            <w:r w:rsidRPr="003B6D48">
              <w:rPr>
                <w:rFonts w:ascii="Constantia" w:eastAsia="Calibri" w:hAnsi="Constantia" w:cs="Times New Roman"/>
                <w:sz w:val="21"/>
                <w:szCs w:val="21"/>
                <w:lang w:val="en-GB"/>
              </w:rPr>
              <w:t>”</w:t>
            </w:r>
          </w:p>
        </w:tc>
        <w:tc>
          <w:tcPr>
            <w:tcW w:w="5244" w:type="dxa"/>
          </w:tcPr>
          <w:p w14:paraId="1CF31572" w14:textId="77777777"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Euroclear Sweden AB or another central securities depository;</w:t>
            </w:r>
          </w:p>
        </w:tc>
      </w:tr>
      <w:tr w:rsidR="00C81799" w:rsidRPr="004E41F1" w14:paraId="63328B14" w14:textId="77777777" w:rsidTr="00C578EE">
        <w:tc>
          <w:tcPr>
            <w:tcW w:w="2410" w:type="dxa"/>
          </w:tcPr>
          <w:p w14:paraId="3F99A425"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listing</w:t>
            </w:r>
            <w:proofErr w:type="gramEnd"/>
            <w:r w:rsidRPr="003B6D48">
              <w:rPr>
                <w:rFonts w:ascii="Constantia" w:eastAsia="Calibri" w:hAnsi="Constantia" w:cs="Times New Roman"/>
                <w:sz w:val="21"/>
                <w:szCs w:val="21"/>
                <w:lang w:val="en-GB"/>
              </w:rPr>
              <w:t>”</w:t>
            </w:r>
          </w:p>
        </w:tc>
        <w:tc>
          <w:tcPr>
            <w:tcW w:w="5244" w:type="dxa"/>
          </w:tcPr>
          <w:p w14:paraId="043AEA13" w14:textId="77777777"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listing of a share in the company on a regulated market or multilateral trading facility within the European Economic Area or a corresponding marketplace for financial instruments outside the European Economic;</w:t>
            </w:r>
          </w:p>
        </w:tc>
      </w:tr>
      <w:tr w:rsidR="00C81799" w:rsidRPr="004E41F1" w14:paraId="1A3B0293" w14:textId="77777777" w:rsidTr="00C578EE">
        <w:tc>
          <w:tcPr>
            <w:tcW w:w="2410" w:type="dxa"/>
          </w:tcPr>
          <w:p w14:paraId="250E769A" w14:textId="77777777" w:rsidR="00EC6CC8" w:rsidRPr="003B6D48" w:rsidRDefault="009A55EB" w:rsidP="00EC6CC8">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share</w:t>
            </w:r>
            <w:proofErr w:type="gramEnd"/>
            <w:r w:rsidRPr="003B6D48">
              <w:rPr>
                <w:rFonts w:ascii="Constantia" w:eastAsia="Calibri" w:hAnsi="Constantia" w:cs="Times New Roman"/>
                <w:sz w:val="21"/>
                <w:szCs w:val="21"/>
                <w:lang w:val="en-GB"/>
              </w:rPr>
              <w:t>”</w:t>
            </w:r>
          </w:p>
        </w:tc>
        <w:tc>
          <w:tcPr>
            <w:tcW w:w="5244" w:type="dxa"/>
          </w:tcPr>
          <w:p w14:paraId="36E8C0D8" w14:textId="77777777" w:rsidR="00EC6CC8" w:rsidRPr="003B6D48" w:rsidRDefault="009A55EB" w:rsidP="00EC6CC8">
            <w:pPr>
              <w:rPr>
                <w:rFonts w:ascii="Constantia" w:eastAsia="Calibri" w:hAnsi="Constantia" w:cs="Times New Roman"/>
                <w:sz w:val="21"/>
                <w:szCs w:val="21"/>
                <w:lang w:val="en-GB"/>
              </w:rPr>
            </w:pPr>
            <w:r w:rsidRPr="003B6D48">
              <w:rPr>
                <w:rFonts w:ascii="Constantia" w:hAnsi="Constantia"/>
                <w:sz w:val="21"/>
                <w:szCs w:val="21"/>
                <w:lang w:val="en-GB"/>
              </w:rPr>
              <w:t>a share in the company</w:t>
            </w:r>
            <w:r w:rsidRPr="003B6D48">
              <w:rPr>
                <w:rFonts w:ascii="Constantia" w:eastAsia="Calibri" w:hAnsi="Constantia" w:cs="Times New Roman"/>
                <w:sz w:val="21"/>
                <w:szCs w:val="21"/>
                <w:lang w:val="en-GB"/>
              </w:rPr>
              <w:t>;</w:t>
            </w:r>
          </w:p>
        </w:tc>
      </w:tr>
      <w:tr w:rsidR="00C81799" w:rsidRPr="004E41F1" w14:paraId="0C45B8ED" w14:textId="77777777" w:rsidTr="00C578EE">
        <w:tc>
          <w:tcPr>
            <w:tcW w:w="2410" w:type="dxa"/>
          </w:tcPr>
          <w:p w14:paraId="64DE8EA7"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subscription</w:t>
            </w:r>
            <w:proofErr w:type="gramEnd"/>
            <w:r w:rsidRPr="003B6D48">
              <w:rPr>
                <w:rFonts w:ascii="Constantia" w:eastAsia="Calibri" w:hAnsi="Constantia" w:cs="Times New Roman"/>
                <w:sz w:val="21"/>
                <w:szCs w:val="21"/>
                <w:lang w:val="en-GB"/>
              </w:rPr>
              <w:t>”</w:t>
            </w:r>
          </w:p>
        </w:tc>
        <w:tc>
          <w:tcPr>
            <w:tcW w:w="5244" w:type="dxa"/>
          </w:tcPr>
          <w:p w14:paraId="491380EC" w14:textId="77777777" w:rsidR="00C578EE" w:rsidRPr="003B6D48" w:rsidRDefault="009A55EB" w:rsidP="00C578EE">
            <w:p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such </w:t>
            </w:r>
            <w:r w:rsidRPr="003B6D48">
              <w:rPr>
                <w:rFonts w:ascii="Constantia" w:hAnsi="Constantia"/>
                <w:sz w:val="21"/>
                <w:szCs w:val="21"/>
                <w:lang w:val="en-GB"/>
              </w:rPr>
              <w:t>subscription for new shares exercised through a warrant</w:t>
            </w:r>
            <w:r w:rsidRPr="003B6D48">
              <w:rPr>
                <w:rFonts w:ascii="Constantia" w:eastAsia="Calibri" w:hAnsi="Constantia" w:cs="Times New Roman"/>
                <w:sz w:val="21"/>
                <w:szCs w:val="21"/>
                <w:lang w:val="en-GB"/>
              </w:rPr>
              <w:t xml:space="preserve"> as referred to in Chapter 14 of the Companies Act;</w:t>
            </w:r>
          </w:p>
        </w:tc>
      </w:tr>
      <w:tr w:rsidR="00C81799" w:rsidRPr="004E41F1" w14:paraId="787B4D1E" w14:textId="77777777" w:rsidTr="00C578EE">
        <w:tc>
          <w:tcPr>
            <w:tcW w:w="2410" w:type="dxa"/>
          </w:tcPr>
          <w:p w14:paraId="69D411BE" w14:textId="77777777" w:rsidR="00C578EE" w:rsidRPr="003B6D48" w:rsidRDefault="009A55EB" w:rsidP="00C578EE">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subscription</w:t>
            </w:r>
            <w:proofErr w:type="gramEnd"/>
            <w:r w:rsidRPr="003B6D48">
              <w:rPr>
                <w:rFonts w:ascii="Constantia" w:eastAsia="Calibri" w:hAnsi="Constantia" w:cs="Times New Roman"/>
                <w:b/>
                <w:sz w:val="21"/>
                <w:szCs w:val="21"/>
                <w:lang w:val="en-GB"/>
              </w:rPr>
              <w:t xml:space="preserve"> price</w:t>
            </w:r>
            <w:r w:rsidRPr="003B6D48">
              <w:rPr>
                <w:rFonts w:ascii="Constantia" w:eastAsia="Calibri" w:hAnsi="Constantia" w:cs="Times New Roman"/>
                <w:sz w:val="21"/>
                <w:szCs w:val="21"/>
                <w:lang w:val="en-GB"/>
              </w:rPr>
              <w:t>”</w:t>
            </w:r>
          </w:p>
        </w:tc>
        <w:tc>
          <w:tcPr>
            <w:tcW w:w="5244" w:type="dxa"/>
          </w:tcPr>
          <w:p w14:paraId="07B9A854" w14:textId="77777777" w:rsidR="00C578EE" w:rsidRPr="003B6D48" w:rsidRDefault="009A55EB" w:rsidP="00C578EE">
            <w:pPr>
              <w:rPr>
                <w:rFonts w:ascii="Constantia" w:eastAsia="Calibri" w:hAnsi="Constantia" w:cs="Times New Roman"/>
                <w:sz w:val="21"/>
                <w:szCs w:val="21"/>
                <w:lang w:val="en-GB"/>
              </w:rPr>
            </w:pPr>
            <w:r w:rsidRPr="003B6D48">
              <w:rPr>
                <w:rFonts w:ascii="Constantia" w:hAnsi="Constantia"/>
                <w:sz w:val="21"/>
                <w:szCs w:val="21"/>
                <w:lang w:val="en-GB"/>
              </w:rPr>
              <w:t>the price at which subscription for new shares by exercising a warrant may take place</w:t>
            </w:r>
            <w:r w:rsidRPr="003B6D48">
              <w:rPr>
                <w:rFonts w:ascii="Constantia" w:eastAsia="Calibri" w:hAnsi="Constantia" w:cs="Times New Roman"/>
                <w:sz w:val="21"/>
                <w:szCs w:val="21"/>
                <w:lang w:val="en-GB"/>
              </w:rPr>
              <w:t>; and</w:t>
            </w:r>
          </w:p>
        </w:tc>
      </w:tr>
      <w:tr w:rsidR="00C81799" w:rsidRPr="004E41F1" w14:paraId="2EA0C841" w14:textId="77777777" w:rsidTr="00C578EE">
        <w:tc>
          <w:tcPr>
            <w:tcW w:w="2410" w:type="dxa"/>
          </w:tcPr>
          <w:p w14:paraId="2D4A775A" w14:textId="77777777" w:rsidR="00EC6CC8" w:rsidRPr="003B6D48" w:rsidRDefault="009A55EB" w:rsidP="00EC6CC8">
            <w:pPr>
              <w:rPr>
                <w:rFonts w:ascii="Constantia" w:eastAsia="Calibri" w:hAnsi="Constantia" w:cs="Times New Roman"/>
                <w:sz w:val="21"/>
                <w:szCs w:val="21"/>
                <w:lang w:val="en-GB"/>
              </w:rPr>
            </w:pPr>
            <w:proofErr w:type="gramStart"/>
            <w:r w:rsidRPr="003B6D48">
              <w:rPr>
                <w:rFonts w:ascii="Constantia" w:eastAsia="Calibri" w:hAnsi="Constantia" w:cs="Times New Roman"/>
                <w:sz w:val="21"/>
                <w:szCs w:val="21"/>
                <w:lang w:val="en-GB"/>
              </w:rPr>
              <w:t>”</w:t>
            </w:r>
            <w:r w:rsidRPr="003B6D48">
              <w:rPr>
                <w:rFonts w:ascii="Constantia" w:eastAsia="Calibri" w:hAnsi="Constantia" w:cs="Times New Roman"/>
                <w:b/>
                <w:sz w:val="21"/>
                <w:szCs w:val="21"/>
                <w:lang w:val="en-GB"/>
              </w:rPr>
              <w:t>warrant</w:t>
            </w:r>
            <w:proofErr w:type="gramEnd"/>
            <w:r w:rsidRPr="003B6D48">
              <w:rPr>
                <w:rFonts w:ascii="Constantia" w:eastAsia="Calibri" w:hAnsi="Constantia" w:cs="Times New Roman"/>
                <w:sz w:val="21"/>
                <w:szCs w:val="21"/>
                <w:lang w:val="en-GB"/>
              </w:rPr>
              <w:t>”</w:t>
            </w:r>
          </w:p>
        </w:tc>
        <w:tc>
          <w:tcPr>
            <w:tcW w:w="5244" w:type="dxa"/>
          </w:tcPr>
          <w:p w14:paraId="1CD1907D" w14:textId="77777777" w:rsidR="00EC6CC8" w:rsidRPr="003B6D48" w:rsidRDefault="009A55EB" w:rsidP="00EC6CC8">
            <w:pPr>
              <w:rPr>
                <w:rFonts w:ascii="Constantia" w:eastAsia="Calibri" w:hAnsi="Constantia" w:cs="Times New Roman"/>
                <w:sz w:val="21"/>
                <w:szCs w:val="21"/>
                <w:lang w:val="en-GB"/>
              </w:rPr>
            </w:pPr>
            <w:r w:rsidRPr="003B6D48">
              <w:rPr>
                <w:rFonts w:ascii="Constantia" w:hAnsi="Constantia"/>
                <w:sz w:val="21"/>
                <w:szCs w:val="21"/>
                <w:lang w:val="en-GB"/>
              </w:rPr>
              <w:t>the right to subscribe for new shares in exchange for payment in cash in accordance with these terms and conditions</w:t>
            </w:r>
            <w:r w:rsidRPr="003B6D48">
              <w:rPr>
                <w:rFonts w:ascii="Constantia" w:eastAsia="Calibri" w:hAnsi="Constantia" w:cs="Times New Roman"/>
                <w:sz w:val="21"/>
                <w:szCs w:val="21"/>
                <w:lang w:val="en-GB"/>
              </w:rPr>
              <w:t>.</w:t>
            </w:r>
          </w:p>
        </w:tc>
      </w:tr>
    </w:tbl>
    <w:p w14:paraId="692F2BF8"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Warrants</w:t>
      </w:r>
    </w:p>
    <w:p w14:paraId="51B6B870" w14:textId="3D2A9E3A" w:rsidR="00C578EE" w:rsidRPr="003B6D48" w:rsidRDefault="009A55EB" w:rsidP="008858C3">
      <w:pPr>
        <w:ind w:left="851"/>
        <w:rPr>
          <w:rFonts w:ascii="Constantia" w:hAnsi="Constantia" w:cstheme="minorHAnsi"/>
          <w:color w:val="262626"/>
          <w:sz w:val="21"/>
          <w:szCs w:val="21"/>
          <w:lang w:val="en-US"/>
        </w:rPr>
      </w:pPr>
      <w:r w:rsidRPr="003B6D48">
        <w:rPr>
          <w:rFonts w:ascii="Constantia" w:hAnsi="Constantia"/>
          <w:sz w:val="21"/>
          <w:szCs w:val="21"/>
          <w:lang w:val="en-GB"/>
        </w:rPr>
        <w:t xml:space="preserve">The total number of warrants shall be not more </w:t>
      </w:r>
      <w:r w:rsidRPr="003B6D48">
        <w:rPr>
          <w:rFonts w:ascii="Constantia" w:eastAsia="Calibri" w:hAnsi="Constantia" w:cs="Times New Roman"/>
          <w:sz w:val="21"/>
          <w:szCs w:val="21"/>
          <w:lang w:val="en-GB"/>
        </w:rPr>
        <w:t>than</w:t>
      </w:r>
      <w:r w:rsidR="00860D31">
        <w:rPr>
          <w:rFonts w:ascii="Constantia" w:eastAsia="Calibri" w:hAnsi="Constantia" w:cs="Times New Roman"/>
          <w:sz w:val="21"/>
          <w:szCs w:val="21"/>
          <w:lang w:val="en-GB"/>
        </w:rPr>
        <w:t xml:space="preserve"> </w:t>
      </w:r>
      <w:r w:rsidR="00860D31" w:rsidRPr="00860D31">
        <w:rPr>
          <w:rFonts w:ascii="Constantia" w:eastAsia="Calibri" w:hAnsi="Constantia" w:cs="Times New Roman"/>
          <w:sz w:val="21"/>
          <w:szCs w:val="21"/>
          <w:lang w:val="en-GB"/>
        </w:rPr>
        <w:t>157,669</w:t>
      </w:r>
      <w:r w:rsidR="00794042" w:rsidRPr="003B6D48">
        <w:rPr>
          <w:rFonts w:ascii="Constantia" w:hAnsi="Constantia" w:cstheme="minorHAnsi"/>
          <w:color w:val="262626"/>
          <w:sz w:val="21"/>
          <w:szCs w:val="21"/>
          <w:lang w:val="en-US"/>
        </w:rPr>
        <w:t>.</w:t>
      </w:r>
      <w:r w:rsidR="004C1C7A" w:rsidRPr="003B6D48">
        <w:rPr>
          <w:rFonts w:ascii="Constantia" w:hAnsi="Constantia" w:cstheme="minorHAnsi"/>
          <w:color w:val="262626"/>
          <w:sz w:val="21"/>
          <w:szCs w:val="21"/>
          <w:lang w:val="en-US"/>
        </w:rPr>
        <w:t xml:space="preserve"> </w:t>
      </w:r>
      <w:r w:rsidR="008858C3" w:rsidRPr="003B6D48">
        <w:rPr>
          <w:rFonts w:ascii="Constantia" w:hAnsi="Constantia" w:cstheme="minorHAnsi"/>
          <w:color w:val="262626"/>
          <w:sz w:val="21"/>
          <w:szCs w:val="21"/>
          <w:lang w:val="en-US"/>
        </w:rPr>
        <w:t xml:space="preserve">Upon request, the </w:t>
      </w:r>
      <w:r w:rsidR="00AA5CCF" w:rsidRPr="003B6D48">
        <w:rPr>
          <w:rFonts w:ascii="Constantia" w:hAnsi="Constantia" w:cstheme="minorHAnsi"/>
          <w:color w:val="262626"/>
          <w:sz w:val="21"/>
          <w:szCs w:val="21"/>
          <w:lang w:val="en-US"/>
        </w:rPr>
        <w:t>c</w:t>
      </w:r>
      <w:r w:rsidR="008858C3" w:rsidRPr="003B6D48">
        <w:rPr>
          <w:rFonts w:ascii="Constantia" w:hAnsi="Constantia" w:cstheme="minorHAnsi"/>
          <w:color w:val="262626"/>
          <w:sz w:val="21"/>
          <w:szCs w:val="21"/>
          <w:lang w:val="en-US"/>
        </w:rPr>
        <w:t>ompany shall issue a warrant certificate representing the number of warrants held by the holder.</w:t>
      </w:r>
    </w:p>
    <w:p w14:paraId="69CE7761"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bookmarkStart w:id="10" w:name="_Ref511232102"/>
      <w:r w:rsidRPr="003B6D48">
        <w:rPr>
          <w:rFonts w:ascii="Constantia" w:eastAsia="Times New Roman" w:hAnsi="Constantia" w:cs="Arial"/>
          <w:b/>
          <w:bCs/>
          <w:caps/>
          <w:kern w:val="32"/>
          <w:sz w:val="21"/>
          <w:szCs w:val="21"/>
          <w:lang w:val="en-GB" w:eastAsia="sv-SE"/>
        </w:rPr>
        <w:t>subscription</w:t>
      </w:r>
      <w:bookmarkEnd w:id="10"/>
    </w:p>
    <w:p w14:paraId="30C6A426" w14:textId="5AE81B3B"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 xml:space="preserve">The holder shall be entitled to subscribe for one new share for each warrant </w:t>
      </w:r>
      <w:r w:rsidR="004F12DF">
        <w:rPr>
          <w:rFonts w:ascii="Constantia" w:eastAsia="Calibri" w:hAnsi="Constantia" w:cs="Times New Roman"/>
          <w:sz w:val="21"/>
          <w:szCs w:val="21"/>
          <w:lang w:val="en-GB"/>
        </w:rPr>
        <w:t xml:space="preserve">during the </w:t>
      </w:r>
      <w:r w:rsidR="004F12DF" w:rsidRPr="0071307F">
        <w:rPr>
          <w:rFonts w:ascii="Constantia" w:eastAsia="Calibri" w:hAnsi="Constantia" w:cs="Times New Roman"/>
          <w:sz w:val="21"/>
          <w:szCs w:val="21"/>
          <w:lang w:val="en-GB"/>
        </w:rPr>
        <w:t xml:space="preserve">period from and including </w:t>
      </w:r>
      <w:r w:rsidR="00687881" w:rsidRPr="00687881">
        <w:rPr>
          <w:rFonts w:ascii="Constantia" w:eastAsia="Calibri" w:hAnsi="Constantia" w:cs="Times New Roman"/>
          <w:sz w:val="21"/>
          <w:szCs w:val="21"/>
          <w:lang w:val="en-GB"/>
        </w:rPr>
        <w:t xml:space="preserve">30 June 2023 </w:t>
      </w:r>
      <w:r w:rsidR="004F12DF" w:rsidRPr="0071307F">
        <w:rPr>
          <w:rFonts w:ascii="Constantia" w:eastAsia="Calibri" w:hAnsi="Constantia" w:cs="Times New Roman"/>
          <w:sz w:val="21"/>
          <w:szCs w:val="21"/>
          <w:lang w:val="en-GB"/>
        </w:rPr>
        <w:t xml:space="preserve">up to and including </w:t>
      </w:r>
      <w:r w:rsidR="00927363" w:rsidRPr="0071307F">
        <w:rPr>
          <w:rFonts w:ascii="Constantia" w:eastAsia="Calibri" w:hAnsi="Constantia" w:cs="Times New Roman"/>
          <w:sz w:val="21"/>
          <w:szCs w:val="21"/>
          <w:lang w:val="en-GB"/>
        </w:rPr>
        <w:t>30 June 2032</w:t>
      </w:r>
      <w:r w:rsidR="004F12DF" w:rsidRPr="0071307F">
        <w:rPr>
          <w:rFonts w:ascii="Constantia" w:eastAsia="Calibri" w:hAnsi="Constantia" w:cs="Times New Roman"/>
          <w:sz w:val="21"/>
          <w:szCs w:val="21"/>
          <w:lang w:val="en-GB"/>
        </w:rPr>
        <w:t xml:space="preserve">, </w:t>
      </w:r>
      <w:r w:rsidRPr="0071307F">
        <w:rPr>
          <w:rFonts w:ascii="Constantia" w:hAnsi="Constantia"/>
          <w:sz w:val="21"/>
          <w:szCs w:val="21"/>
          <w:lang w:val="en-GB"/>
        </w:rPr>
        <w:t>or</w:t>
      </w:r>
      <w:r w:rsidRPr="003B6D48">
        <w:rPr>
          <w:rFonts w:ascii="Constantia" w:hAnsi="Constantia"/>
          <w:sz w:val="21"/>
          <w:szCs w:val="21"/>
          <w:lang w:val="en-GB"/>
        </w:rPr>
        <w:t xml:space="preserve"> up to and including such earlier date as may follow from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_Ref511232040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7</w:t>
      </w:r>
      <w:r w:rsidRPr="003B6D48">
        <w:rPr>
          <w:rFonts w:ascii="Constantia" w:hAnsi="Constantia"/>
          <w:sz w:val="21"/>
          <w:szCs w:val="21"/>
          <w:lang w:val="en-GB"/>
        </w:rPr>
        <w:fldChar w:fldCharType="end"/>
      </w:r>
      <w:r w:rsidRPr="003B6D48">
        <w:rPr>
          <w:rFonts w:ascii="Constantia" w:hAnsi="Constantia"/>
          <w:sz w:val="21"/>
          <w:szCs w:val="21"/>
          <w:lang w:val="en-GB"/>
        </w:rPr>
        <w:t xml:space="preserve"> below, at a subscription price corresponding </w:t>
      </w:r>
      <w:r w:rsidR="00671B62" w:rsidRPr="00671B62">
        <w:rPr>
          <w:rFonts w:ascii="Constantia" w:hAnsi="Constantia"/>
          <w:sz w:val="21"/>
          <w:szCs w:val="21"/>
          <w:lang w:val="en-GB"/>
        </w:rPr>
        <w:t>to 100 per cent of the closing price for the Company’s share on Nasdaq First North Growth Market on the trading day prior to the grant of the stock options of series 2022/2032</w:t>
      </w:r>
      <w:r w:rsidR="00D75002" w:rsidRPr="003B6D48">
        <w:rPr>
          <w:rFonts w:ascii="Constantia" w:eastAsia="Calibri" w:hAnsi="Constantia" w:cs="Times New Roman"/>
          <w:sz w:val="21"/>
          <w:szCs w:val="21"/>
          <w:lang w:val="en-GB"/>
        </w:rPr>
        <w:t>,</w:t>
      </w:r>
      <w:r w:rsidR="00D75002" w:rsidRPr="003B6D48">
        <w:rPr>
          <w:rFonts w:ascii="Constantia" w:hAnsi="Constantia"/>
          <w:sz w:val="21"/>
          <w:szCs w:val="21"/>
          <w:lang w:val="en-US"/>
        </w:rPr>
        <w:t xml:space="preserve"> </w:t>
      </w:r>
      <w:r w:rsidR="00D75002" w:rsidRPr="003B6D48">
        <w:rPr>
          <w:rFonts w:ascii="Constantia" w:eastAsia="Calibri" w:hAnsi="Constantia" w:cs="Times New Roman"/>
          <w:sz w:val="21"/>
          <w:szCs w:val="21"/>
          <w:lang w:val="en-GB"/>
        </w:rPr>
        <w:t>however at least the quota value of the company’s shares.</w:t>
      </w:r>
      <w:r w:rsidRPr="003B6D48">
        <w:rPr>
          <w:rFonts w:ascii="Constantia" w:eastAsia="Calibri" w:hAnsi="Constantia" w:cs="Times New Roman"/>
          <w:sz w:val="21"/>
          <w:szCs w:val="21"/>
          <w:lang w:val="en-GB"/>
        </w:rPr>
        <w:t xml:space="preserve"> The subscription price shall be rounded off to the closest </w:t>
      </w:r>
      <w:proofErr w:type="spellStart"/>
      <w:r w:rsidRPr="003B6D48">
        <w:rPr>
          <w:rFonts w:ascii="Constantia" w:eastAsia="Calibri" w:hAnsi="Constantia" w:cs="Times New Roman"/>
          <w:sz w:val="21"/>
          <w:szCs w:val="21"/>
          <w:lang w:val="en-GB"/>
        </w:rPr>
        <w:t>öre</w:t>
      </w:r>
      <w:proofErr w:type="spellEnd"/>
      <w:r w:rsidRPr="003B6D48">
        <w:rPr>
          <w:rFonts w:ascii="Constantia" w:eastAsia="Calibri" w:hAnsi="Constantia" w:cs="Times New Roman"/>
          <w:sz w:val="21"/>
          <w:szCs w:val="21"/>
          <w:lang w:val="en-GB"/>
        </w:rPr>
        <w:t xml:space="preserve"> (SEK 0.</w:t>
      </w:r>
      <w:r w:rsidR="00B874F2" w:rsidRPr="003B6D48">
        <w:rPr>
          <w:rFonts w:ascii="Constantia" w:eastAsia="Calibri" w:hAnsi="Constantia" w:cs="Times New Roman"/>
          <w:sz w:val="21"/>
          <w:szCs w:val="21"/>
          <w:lang w:val="en-GB"/>
        </w:rPr>
        <w:t>0</w:t>
      </w:r>
      <w:r w:rsidR="009C212B" w:rsidRPr="003B6D48">
        <w:rPr>
          <w:rFonts w:ascii="Constantia" w:eastAsia="Calibri" w:hAnsi="Constantia" w:cs="Times New Roman"/>
          <w:sz w:val="21"/>
          <w:szCs w:val="21"/>
          <w:lang w:val="en-GB"/>
        </w:rPr>
        <w:t>1</w:t>
      </w:r>
      <w:r w:rsidRPr="003B6D48">
        <w:rPr>
          <w:rFonts w:ascii="Constantia" w:eastAsia="Calibri" w:hAnsi="Constantia" w:cs="Times New Roman"/>
          <w:sz w:val="21"/>
          <w:szCs w:val="21"/>
          <w:lang w:val="en-GB"/>
        </w:rPr>
        <w:t>). As follows from section 7</w:t>
      </w:r>
      <w:r w:rsidR="00281C62" w:rsidRPr="003B6D48">
        <w:rPr>
          <w:rFonts w:ascii="Constantia" w:eastAsia="Calibri" w:hAnsi="Constantia" w:cs="Times New Roman"/>
          <w:sz w:val="21"/>
          <w:szCs w:val="21"/>
          <w:lang w:val="en-GB"/>
        </w:rPr>
        <w:t>, </w:t>
      </w:r>
      <w:r w:rsidRPr="003B6D48">
        <w:rPr>
          <w:rFonts w:ascii="Constantia" w:eastAsia="Calibri" w:hAnsi="Constantia" w:cs="Times New Roman"/>
          <w:sz w:val="21"/>
          <w:szCs w:val="21"/>
          <w:lang w:val="en-GB"/>
        </w:rPr>
        <w:t>recalculation of the subscription price and the number of shares to which each warrant entitles to subscribe may take place.</w:t>
      </w:r>
    </w:p>
    <w:p w14:paraId="4F940C76" w14:textId="77777777" w:rsidR="003F7AB3" w:rsidRPr="003B6D48" w:rsidRDefault="009A55EB" w:rsidP="003F7AB3">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Subscription can only be made for a whole number of shares, to which the aggregate number of warrants entitle, that each holder of warrants wishes to exercise at the </w:t>
      </w:r>
      <w:r w:rsidRPr="003B6D48">
        <w:rPr>
          <w:rFonts w:ascii="Constantia" w:eastAsia="Calibri" w:hAnsi="Constantia" w:cs="Times New Roman"/>
          <w:sz w:val="21"/>
          <w:szCs w:val="21"/>
          <w:lang w:val="en-GB"/>
        </w:rPr>
        <w:lastRenderedPageBreak/>
        <w:t>same time. Notice of subscription shall be made through a written notice to the company, whereupon the entire number of shares the holder wishes to subscribe for shall be stated, and the warrant holder shall submit to the company a warrant certificate representing the number of warrants the holder wishes to exercise. Such application is binding and cannot be revoked. Where no notice of subscription is submitted within the term stated in the first paragraph, all rights under the warrants cease to apply.</w:t>
      </w:r>
    </w:p>
    <w:p w14:paraId="7DAEEFB8"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PAYMENT</w:t>
      </w:r>
    </w:p>
    <w:p w14:paraId="3B2F526A" w14:textId="1A407CAE"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Simultaneously with the notice of subscription, payment in cash shall be made for the shares to which the subscription relates. Payment shall be made to a bank account designated by the company.</w:t>
      </w:r>
    </w:p>
    <w:p w14:paraId="21798DFE"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ENTRY IN THE SHARE REGISTER</w:t>
      </w:r>
    </w:p>
    <w:p w14:paraId="4F4908D0"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Subscription for new shares shall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through the company ensuring the interim registration of the new shares on a central securities depository account. Following registration at the Swedish Companies Registration Office, the registration on a central securities depository account shall become final.</w:t>
      </w:r>
    </w:p>
    <w:p w14:paraId="3FE3EE9A"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DIVIDENDS ON NEW SHARES</w:t>
      </w:r>
    </w:p>
    <w:p w14:paraId="26455806"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 xml:space="preserve">Shares which are newly issued following subscription shall carry an entitlement to participate in dividends for the first time on the next record date for dividends which </w:t>
      </w:r>
      <w:r w:rsidR="00394890" w:rsidRPr="003B6D48">
        <w:rPr>
          <w:rFonts w:ascii="Constantia" w:eastAsia="Calibri" w:hAnsi="Constantia" w:cs="Times New Roman"/>
          <w:sz w:val="21"/>
          <w:szCs w:val="21"/>
          <w:lang w:val="en-GB"/>
        </w:rPr>
        <w:t>occurs following registration of the shares with the Swedish Companies Registration Office</w:t>
      </w:r>
      <w:r w:rsidRPr="003B6D48">
        <w:rPr>
          <w:rFonts w:ascii="Constantia" w:hAnsi="Constantia"/>
          <w:sz w:val="21"/>
          <w:szCs w:val="21"/>
          <w:lang w:val="en-GB"/>
        </w:rPr>
        <w:t>.</w:t>
      </w:r>
    </w:p>
    <w:p w14:paraId="4D4E9BFF" w14:textId="6A4954A0"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bookmarkStart w:id="11" w:name="_Ref511232040"/>
      <w:r w:rsidRPr="003B6D48">
        <w:rPr>
          <w:rFonts w:ascii="Constantia" w:eastAsia="Times New Roman" w:hAnsi="Constantia" w:cs="Arial"/>
          <w:b/>
          <w:bCs/>
          <w:caps/>
          <w:kern w:val="32"/>
          <w:sz w:val="21"/>
          <w:szCs w:val="21"/>
          <w:lang w:val="en-GB" w:eastAsia="sv-SE"/>
        </w:rPr>
        <w:t>RECALCULATION</w:t>
      </w:r>
      <w:bookmarkEnd w:id="11"/>
    </w:p>
    <w:p w14:paraId="5BC359DB"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In the situations referred to below, the following shall apply with respect to the rights which shall vest in holders of warrants:</w:t>
      </w:r>
    </w:p>
    <w:p w14:paraId="705B06B0" w14:textId="77777777" w:rsidR="00C578EE" w:rsidRPr="003B6D48" w:rsidRDefault="009A55EB" w:rsidP="00C578EE">
      <w:pPr>
        <w:numPr>
          <w:ilvl w:val="1"/>
          <w:numId w:val="21"/>
        </w:numPr>
        <w:rPr>
          <w:rFonts w:ascii="Constantia" w:eastAsia="Times New Roman" w:hAnsi="Constantia" w:cs="Times New Roman"/>
          <w:bCs/>
          <w:sz w:val="21"/>
          <w:szCs w:val="21"/>
          <w:lang w:val="en-GB"/>
        </w:rPr>
      </w:pPr>
      <w:bookmarkStart w:id="12" w:name="_Ref374352087"/>
      <w:r w:rsidRPr="003B6D48">
        <w:rPr>
          <w:rFonts w:ascii="Constantia" w:eastAsia="Times New Roman" w:hAnsi="Constantia" w:cs="Times New Roman"/>
          <w:bCs/>
          <w:sz w:val="21"/>
          <w:szCs w:val="21"/>
          <w:lang w:val="en-US"/>
        </w:rPr>
        <w:t xml:space="preserve">In </w:t>
      </w:r>
      <w:r w:rsidRPr="003B6D48">
        <w:rPr>
          <w:rFonts w:ascii="Constantia" w:hAnsi="Constantia"/>
          <w:sz w:val="21"/>
          <w:szCs w:val="21"/>
          <w:lang w:val="en-GB"/>
        </w:rPr>
        <w:t xml:space="preserve">the event the company carries out a </w:t>
      </w:r>
      <w:r w:rsidRPr="003B6D48">
        <w:rPr>
          <w:rFonts w:ascii="Constantia" w:hAnsi="Constantia"/>
          <w:b/>
          <w:sz w:val="21"/>
          <w:szCs w:val="21"/>
          <w:lang w:val="en-GB"/>
        </w:rPr>
        <w:t>bonus issue</w:t>
      </w:r>
      <w:r w:rsidRPr="003B6D48">
        <w:rPr>
          <w:rFonts w:ascii="Constantia" w:hAnsi="Constantia"/>
          <w:sz w:val="21"/>
          <w:szCs w:val="21"/>
          <w:lang w:val="en-GB"/>
        </w:rPr>
        <w:t xml:space="preserve">, where subscription is made in such time that it cannot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by no later than the tenth workday prior to the general meeting at which a bonus issue resolution is to be adopted, subscription may be effected only after such a general meeting has adopted a resolution thereon. Shares which vest </w:t>
      </w:r>
      <w:proofErr w:type="gramStart"/>
      <w:r w:rsidRPr="003B6D48">
        <w:rPr>
          <w:rFonts w:ascii="Constantia" w:hAnsi="Constantia"/>
          <w:sz w:val="21"/>
          <w:szCs w:val="21"/>
          <w:lang w:val="en-GB"/>
        </w:rPr>
        <w:t>as a consequence of</w:t>
      </w:r>
      <w:proofErr w:type="gramEnd"/>
      <w:r w:rsidRPr="003B6D48">
        <w:rPr>
          <w:rFonts w:ascii="Constantia" w:hAnsi="Constantia"/>
          <w:sz w:val="21"/>
          <w:szCs w:val="21"/>
          <w:lang w:val="en-GB"/>
        </w:rPr>
        <w:t xml:space="preserve"> subscription effected following the bonus issue resolution shall be the subject of interim registration on a central securities depository account, and accordingly shall not be entitled to participate in the bonus issue. Final registration on a central securities depository account shall take place only after the record date for the bonus issue.</w:t>
      </w:r>
      <w:bookmarkEnd w:id="12"/>
    </w:p>
    <w:p w14:paraId="6F1C8FDC" w14:textId="77777777" w:rsidR="00C578EE" w:rsidRPr="003B6D48" w:rsidRDefault="009A55EB" w:rsidP="00C578EE">
      <w:pPr>
        <w:pStyle w:val="NormalEnglish"/>
        <w:ind w:left="851"/>
        <w:rPr>
          <w:rFonts w:ascii="Constantia" w:hAnsi="Constantia"/>
          <w:i w:val="0"/>
          <w:sz w:val="21"/>
          <w:szCs w:val="21"/>
          <w:lang w:val="en-GB"/>
        </w:rPr>
      </w:pPr>
      <w:r w:rsidRPr="003B6D48">
        <w:rPr>
          <w:rFonts w:ascii="Constantia" w:hAnsi="Constantia"/>
          <w:i w:val="0"/>
          <w:sz w:val="21"/>
          <w:szCs w:val="21"/>
          <w:lang w:val="en-GB"/>
        </w:rPr>
        <w:t xml:space="preserve">In the case of </w:t>
      </w:r>
      <w:proofErr w:type="gramStart"/>
      <w:r w:rsidRPr="003B6D48">
        <w:rPr>
          <w:rFonts w:ascii="Constantia" w:hAnsi="Constantia"/>
          <w:i w:val="0"/>
          <w:sz w:val="21"/>
          <w:szCs w:val="21"/>
          <w:lang w:val="en-GB"/>
        </w:rPr>
        <w:t>subscription</w:t>
      </w:r>
      <w:proofErr w:type="gramEnd"/>
      <w:r w:rsidRPr="003B6D48">
        <w:rPr>
          <w:rFonts w:ascii="Constantia" w:hAnsi="Constantia"/>
          <w:i w:val="0"/>
          <w:sz w:val="21"/>
          <w:szCs w:val="21"/>
          <w:lang w:val="en-GB"/>
        </w:rPr>
        <w:t xml:space="preserve"> which is effected following a bonus issue resolution, a recalculated subscription price shall be applied, as well as a recalculation of the number of shares to which each warrant provides an entitlement to subscribe. The recalculations shall be made by the company on the following formulae:</w:t>
      </w:r>
    </w:p>
    <w:p w14:paraId="35C7E9ED" w14:textId="77777777" w:rsidR="00C578EE" w:rsidRPr="003B6D48" w:rsidRDefault="00C578EE" w:rsidP="00C578EE">
      <w:pPr>
        <w:ind w:left="851"/>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1A1D3ECF" w14:textId="77777777" w:rsidTr="00C578EE">
        <w:trPr>
          <w:cantSplit/>
          <w:trHeight w:val="610"/>
        </w:trPr>
        <w:tc>
          <w:tcPr>
            <w:tcW w:w="2410" w:type="dxa"/>
            <w:vMerge w:val="restart"/>
            <w:tcBorders>
              <w:bottom w:val="nil"/>
            </w:tcBorders>
          </w:tcPr>
          <w:p w14:paraId="5165FE71" w14:textId="77777777" w:rsidR="00C578EE" w:rsidRPr="003B6D48" w:rsidRDefault="00C578EE" w:rsidP="00C578EE">
            <w:pPr>
              <w:spacing w:after="0"/>
              <w:rPr>
                <w:rFonts w:ascii="Constantia" w:eastAsia="Calibri" w:hAnsi="Constantia" w:cs="Times New Roman"/>
                <w:sz w:val="21"/>
                <w:szCs w:val="21"/>
                <w:lang w:val="en-GB"/>
              </w:rPr>
            </w:pPr>
          </w:p>
          <w:p w14:paraId="50DF0A9E"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subscription price</w:t>
            </w:r>
          </w:p>
        </w:tc>
        <w:tc>
          <w:tcPr>
            <w:tcW w:w="708" w:type="dxa"/>
            <w:vMerge w:val="restart"/>
            <w:tcBorders>
              <w:bottom w:val="nil"/>
            </w:tcBorders>
          </w:tcPr>
          <w:p w14:paraId="17A739E0" w14:textId="77777777" w:rsidR="00C578EE" w:rsidRPr="003B6D48" w:rsidRDefault="00C578EE" w:rsidP="00C578EE">
            <w:pPr>
              <w:spacing w:after="0"/>
              <w:jc w:val="center"/>
              <w:rPr>
                <w:rFonts w:ascii="Constantia" w:eastAsia="Calibri" w:hAnsi="Constantia" w:cs="Times New Roman"/>
                <w:sz w:val="21"/>
                <w:szCs w:val="21"/>
                <w:lang w:val="en-GB"/>
              </w:rPr>
            </w:pPr>
          </w:p>
          <w:p w14:paraId="0563FE20"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6818CA7E"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subscription price x number of shares prior to the bonus issue</w:t>
            </w:r>
          </w:p>
        </w:tc>
      </w:tr>
      <w:tr w:rsidR="00C81799" w:rsidRPr="004E41F1" w14:paraId="5B785756" w14:textId="77777777" w:rsidTr="00C578EE">
        <w:trPr>
          <w:cantSplit/>
        </w:trPr>
        <w:tc>
          <w:tcPr>
            <w:tcW w:w="2410" w:type="dxa"/>
            <w:vMerge/>
            <w:tcBorders>
              <w:top w:val="nil"/>
              <w:bottom w:val="nil"/>
            </w:tcBorders>
          </w:tcPr>
          <w:p w14:paraId="6EFF486A"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5289F3B5"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1157417F"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number of shares after the bonus issue</w:t>
            </w:r>
          </w:p>
        </w:tc>
      </w:tr>
    </w:tbl>
    <w:p w14:paraId="32BB72E8" w14:textId="77777777" w:rsidR="00C578EE" w:rsidRPr="003B6D48" w:rsidRDefault="00C578EE" w:rsidP="00C578EE">
      <w:pPr>
        <w:rPr>
          <w:rFonts w:ascii="Constantia" w:eastAsia="Calibri" w:hAnsi="Constantia" w:cs="Times New Roman"/>
          <w:sz w:val="21"/>
          <w:szCs w:val="21"/>
          <w:lang w:val="en-GB"/>
        </w:rPr>
      </w:pPr>
    </w:p>
    <w:p w14:paraId="5C340100" w14:textId="77777777" w:rsidR="00C578EE" w:rsidRPr="003B6D48" w:rsidRDefault="00C578EE" w:rsidP="00C578EE">
      <w:pPr>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32E8B49A" w14:textId="77777777" w:rsidTr="00C578EE">
        <w:trPr>
          <w:cantSplit/>
        </w:trPr>
        <w:tc>
          <w:tcPr>
            <w:tcW w:w="2410" w:type="dxa"/>
            <w:vMerge w:val="restart"/>
            <w:tcBorders>
              <w:bottom w:val="nil"/>
            </w:tcBorders>
          </w:tcPr>
          <w:p w14:paraId="52174B38"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lastRenderedPageBreak/>
              <w:t xml:space="preserve">recalculated number of shares to which each warrant provides an entitlement to subscribe </w:t>
            </w:r>
          </w:p>
        </w:tc>
        <w:tc>
          <w:tcPr>
            <w:tcW w:w="708" w:type="dxa"/>
            <w:vMerge w:val="restart"/>
            <w:tcBorders>
              <w:bottom w:val="nil"/>
            </w:tcBorders>
          </w:tcPr>
          <w:p w14:paraId="62AD8499" w14:textId="77777777" w:rsidR="00C578EE" w:rsidRPr="003B6D48" w:rsidRDefault="00C578EE" w:rsidP="00C578EE">
            <w:pPr>
              <w:spacing w:after="0"/>
              <w:jc w:val="center"/>
              <w:rPr>
                <w:rFonts w:ascii="Constantia" w:eastAsia="Calibri" w:hAnsi="Constantia" w:cs="Times New Roman"/>
                <w:sz w:val="21"/>
                <w:szCs w:val="21"/>
                <w:lang w:val="en-GB"/>
              </w:rPr>
            </w:pPr>
          </w:p>
          <w:p w14:paraId="35C4D8F2" w14:textId="77777777" w:rsidR="00C578EE" w:rsidRPr="003B6D48" w:rsidRDefault="00C578EE" w:rsidP="00C578EE">
            <w:pPr>
              <w:spacing w:after="0"/>
              <w:jc w:val="center"/>
              <w:rPr>
                <w:rFonts w:ascii="Constantia" w:eastAsia="Calibri" w:hAnsi="Constantia" w:cs="Times New Roman"/>
                <w:sz w:val="21"/>
                <w:szCs w:val="21"/>
                <w:lang w:val="en-GB"/>
              </w:rPr>
            </w:pPr>
          </w:p>
          <w:p w14:paraId="5BC37CF3"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759D6997"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previous number of shares to which each warrant provides an entitlement to subscribe x the number of shares after the bonus issue </w:t>
            </w:r>
          </w:p>
        </w:tc>
      </w:tr>
      <w:tr w:rsidR="00C81799" w:rsidRPr="004E41F1" w14:paraId="07A2A561" w14:textId="77777777" w:rsidTr="00C578EE">
        <w:trPr>
          <w:cantSplit/>
        </w:trPr>
        <w:tc>
          <w:tcPr>
            <w:tcW w:w="2410" w:type="dxa"/>
            <w:vMerge/>
            <w:tcBorders>
              <w:top w:val="nil"/>
              <w:bottom w:val="nil"/>
            </w:tcBorders>
          </w:tcPr>
          <w:p w14:paraId="24653D68"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5AF180DE"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7DE9A66D"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number of shares prior to the bonus issue</w:t>
            </w:r>
          </w:p>
        </w:tc>
      </w:tr>
    </w:tbl>
    <w:p w14:paraId="05AF1E6F" w14:textId="77777777" w:rsidR="00C578EE" w:rsidRPr="003B6D48" w:rsidRDefault="00C578EE" w:rsidP="00C578EE">
      <w:pPr>
        <w:ind w:left="720"/>
        <w:rPr>
          <w:rFonts w:ascii="Constantia" w:eastAsia="Calibri" w:hAnsi="Constantia" w:cs="Times New Roman"/>
          <w:sz w:val="21"/>
          <w:szCs w:val="21"/>
          <w:lang w:val="en-GB"/>
        </w:rPr>
      </w:pPr>
    </w:p>
    <w:p w14:paraId="2A2F3189" w14:textId="77777777" w:rsidR="00C578EE" w:rsidRPr="003B6D48" w:rsidRDefault="009A55EB" w:rsidP="00C578EE">
      <w:pPr>
        <w:pStyle w:val="NormalEnglish"/>
        <w:ind w:left="851"/>
        <w:rPr>
          <w:rFonts w:ascii="Constantia" w:hAnsi="Constantia"/>
          <w:i w:val="0"/>
          <w:sz w:val="21"/>
          <w:szCs w:val="21"/>
          <w:lang w:val="en-GB"/>
        </w:rPr>
      </w:pPr>
      <w:r w:rsidRPr="003B6D48">
        <w:rPr>
          <w:rFonts w:ascii="Constantia" w:hAnsi="Constantia"/>
          <w:i w:val="0"/>
          <w:sz w:val="21"/>
          <w:szCs w:val="21"/>
          <w:lang w:val="en-GB"/>
        </w:rPr>
        <w:t>The recalculated subscription price and recalculated number of shares in accordance with the provisions above shall be determined as soon as possible after the general meeting has adopted a bonus issue resolution but shall be applied only after the record date for the bonus issue.</w:t>
      </w:r>
    </w:p>
    <w:p w14:paraId="6F8C2ADC" w14:textId="0AE974ED" w:rsidR="00C578EE" w:rsidRPr="003B6D48" w:rsidRDefault="009A55EB" w:rsidP="00C578EE">
      <w:pPr>
        <w:numPr>
          <w:ilvl w:val="1"/>
          <w:numId w:val="21"/>
        </w:numPr>
        <w:rPr>
          <w:rFonts w:ascii="Constantia" w:hAnsi="Constantia"/>
          <w:sz w:val="21"/>
          <w:szCs w:val="21"/>
          <w:lang w:val="en-GB"/>
        </w:rPr>
      </w:pPr>
      <w:r w:rsidRPr="003B6D48">
        <w:rPr>
          <w:rFonts w:ascii="Constantia" w:hAnsi="Constantia"/>
          <w:sz w:val="21"/>
          <w:szCs w:val="21"/>
          <w:lang w:val="en-GB"/>
        </w:rPr>
        <w:t xml:space="preserve">In the case of a </w:t>
      </w:r>
      <w:r w:rsidRPr="003B6D48">
        <w:rPr>
          <w:rFonts w:ascii="Constantia" w:hAnsi="Constantia"/>
          <w:b/>
          <w:sz w:val="21"/>
          <w:szCs w:val="21"/>
          <w:lang w:val="en-GB"/>
        </w:rPr>
        <w:t>reverse share split</w:t>
      </w:r>
      <w:r w:rsidRPr="003B6D48">
        <w:rPr>
          <w:rFonts w:ascii="Constantia" w:hAnsi="Constantia"/>
          <w:sz w:val="21"/>
          <w:szCs w:val="21"/>
          <w:lang w:val="en-GB"/>
        </w:rPr>
        <w:t xml:space="preserve"> or </w:t>
      </w:r>
      <w:r w:rsidRPr="003B6D48">
        <w:rPr>
          <w:rFonts w:ascii="Constantia" w:hAnsi="Constantia"/>
          <w:b/>
          <w:sz w:val="21"/>
          <w:szCs w:val="21"/>
          <w:lang w:val="en-GB"/>
        </w:rPr>
        <w:t xml:space="preserve">share split </w:t>
      </w:r>
      <w:r w:rsidRPr="003B6D48">
        <w:rPr>
          <w:rFonts w:ascii="Constantia" w:hAnsi="Constantia"/>
          <w:sz w:val="21"/>
          <w:szCs w:val="21"/>
          <w:lang w:val="en-GB"/>
        </w:rPr>
        <w:t xml:space="preserve">of the company’s existing shares, the provisions in section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_Ref374352087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7.1</w:t>
      </w:r>
      <w:r w:rsidRPr="003B6D48">
        <w:rPr>
          <w:rFonts w:ascii="Constantia" w:eastAsia="Times New Roman" w:hAnsi="Constantia" w:cs="Times New Roman"/>
          <w:bCs/>
          <w:sz w:val="21"/>
          <w:szCs w:val="21"/>
          <w:lang w:val="en-GB"/>
        </w:rPr>
        <w:fldChar w:fldCharType="end"/>
      </w:r>
      <w:r w:rsidRPr="003B6D48">
        <w:rPr>
          <w:rFonts w:ascii="Constantia" w:hAnsi="Constantia"/>
          <w:sz w:val="21"/>
          <w:szCs w:val="21"/>
          <w:lang w:val="en-GB"/>
        </w:rPr>
        <w:t xml:space="preserve"> shall apply mutatis mutandis whereupon the record date shall be deemed to be the day on which a reverse share split or share split takes place at Euroclear, upon request by the company.</w:t>
      </w:r>
    </w:p>
    <w:p w14:paraId="6F552ECF" w14:textId="36FBF109" w:rsidR="00C578EE" w:rsidRPr="003B6D48" w:rsidRDefault="009A55EB" w:rsidP="00C578EE">
      <w:pPr>
        <w:numPr>
          <w:ilvl w:val="1"/>
          <w:numId w:val="21"/>
        </w:numPr>
        <w:rPr>
          <w:rFonts w:ascii="Constantia" w:eastAsia="Times New Roman" w:hAnsi="Constantia" w:cs="Times New Roman"/>
          <w:bCs/>
          <w:sz w:val="21"/>
          <w:szCs w:val="21"/>
          <w:lang w:val="en-GB"/>
        </w:rPr>
      </w:pPr>
      <w:bookmarkStart w:id="13" w:name="_Ref374352126"/>
      <w:r w:rsidRPr="003B6D48">
        <w:rPr>
          <w:rFonts w:ascii="Constantia" w:eastAsia="Times New Roman" w:hAnsi="Constantia" w:cs="Times New Roman"/>
          <w:bCs/>
          <w:sz w:val="21"/>
          <w:szCs w:val="21"/>
          <w:lang w:val="en-GB"/>
        </w:rPr>
        <w:t xml:space="preserve">In </w:t>
      </w:r>
      <w:r w:rsidRPr="003B6D48">
        <w:rPr>
          <w:rFonts w:ascii="Constantia" w:hAnsi="Constantia"/>
          <w:sz w:val="21"/>
          <w:szCs w:val="21"/>
          <w:lang w:val="en-GB"/>
        </w:rPr>
        <w:t xml:space="preserve">the case of a </w:t>
      </w:r>
      <w:r w:rsidRPr="003B6D48">
        <w:rPr>
          <w:rFonts w:ascii="Constantia" w:hAnsi="Constantia"/>
          <w:b/>
          <w:sz w:val="21"/>
          <w:szCs w:val="21"/>
          <w:lang w:val="en-GB"/>
        </w:rPr>
        <w:t>new issue</w:t>
      </w:r>
      <w:r w:rsidRPr="003B6D48">
        <w:rPr>
          <w:rFonts w:ascii="Constantia" w:hAnsi="Constantia"/>
          <w:sz w:val="21"/>
          <w:szCs w:val="21"/>
          <w:lang w:val="en-GB"/>
        </w:rPr>
        <w:t xml:space="preserve"> with pre-emption rights for the shareholders to subscribe for new shares, the following shall apply with respect to the right to participate in the new issue by virtue of shares which have vested </w:t>
      </w:r>
      <w:proofErr w:type="gramStart"/>
      <w:r w:rsidRPr="003B6D48">
        <w:rPr>
          <w:rFonts w:ascii="Constantia" w:hAnsi="Constantia"/>
          <w:sz w:val="21"/>
          <w:szCs w:val="21"/>
          <w:lang w:val="en-GB"/>
        </w:rPr>
        <w:t>as a consequence of</w:t>
      </w:r>
      <w:proofErr w:type="gramEnd"/>
      <w:r w:rsidRPr="003B6D48">
        <w:rPr>
          <w:rFonts w:ascii="Constantia" w:hAnsi="Constantia"/>
          <w:sz w:val="21"/>
          <w:szCs w:val="21"/>
          <w:lang w:val="en-GB"/>
        </w:rPr>
        <w:t xml:space="preserve"> subscription through the exercise of a warrant:</w:t>
      </w:r>
      <w:bookmarkEnd w:id="13"/>
    </w:p>
    <w:p w14:paraId="31F1A2D4" w14:textId="77777777" w:rsidR="00C578EE" w:rsidRPr="003B6D48" w:rsidRDefault="009A55EB" w:rsidP="00C578EE">
      <w:pPr>
        <w:numPr>
          <w:ilvl w:val="5"/>
          <w:numId w:val="21"/>
        </w:numP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Where </w:t>
      </w:r>
      <w:r w:rsidRPr="003B6D48">
        <w:rPr>
          <w:rFonts w:ascii="Constantia" w:hAnsi="Constantia"/>
          <w:sz w:val="21"/>
          <w:szCs w:val="21"/>
          <w:lang w:val="en-GB"/>
        </w:rPr>
        <w:t xml:space="preserve">a new issue resolution is adopted by the company’s board of directors subject to approval by the general meeting or pursuant to authorisation granted by the general meeting, the resolution shall state the date by which subscription must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in order that shares which vest as a consequence of subscription shall carry an entitlement to participate in the new issue. Such date may not occur earlier than on the tenth workday after the resolution.</w:t>
      </w:r>
    </w:p>
    <w:p w14:paraId="1E005A96" w14:textId="1ABB53D8" w:rsidR="00C578EE" w:rsidRPr="003B6D48" w:rsidRDefault="009A55EB" w:rsidP="00C578EE">
      <w:pPr>
        <w:numPr>
          <w:ilvl w:val="5"/>
          <w:numId w:val="21"/>
        </w:numPr>
        <w:rPr>
          <w:rFonts w:ascii="Constantia" w:eastAsia="Calibri" w:hAnsi="Constantia" w:cs="Times New Roman"/>
          <w:sz w:val="21"/>
          <w:szCs w:val="21"/>
          <w:lang w:val="en-GB"/>
        </w:rPr>
      </w:pPr>
      <w:r w:rsidRPr="003B6D48">
        <w:rPr>
          <w:rFonts w:ascii="Constantia" w:hAnsi="Constantia"/>
          <w:sz w:val="21"/>
          <w:szCs w:val="21"/>
          <w:lang w:val="en-GB"/>
        </w:rPr>
        <w:t xml:space="preserve">Where the general meeting adopts a new issue resolution, in the event an application for subscription is made at such a time that the subscription cannot be effected no later than on the tenth workday prior to the general meeting which adopts the new issue resolution, subscription shall only be effected after the Company has carried out recalculations in accordance with this section </w:t>
      </w:r>
      <w:r w:rsidRPr="003B6D48">
        <w:rPr>
          <w:rFonts w:ascii="Constantia" w:eastAsia="Calibri" w:hAnsi="Constantia" w:cs="Times New Roman"/>
          <w:sz w:val="21"/>
          <w:szCs w:val="21"/>
        </w:rPr>
        <w:fldChar w:fldCharType="begin"/>
      </w:r>
      <w:r w:rsidRPr="003B6D48">
        <w:rPr>
          <w:rFonts w:ascii="Constantia" w:eastAsia="Calibri" w:hAnsi="Constantia" w:cs="Times New Roman"/>
          <w:sz w:val="21"/>
          <w:szCs w:val="21"/>
          <w:lang w:val="en-US"/>
        </w:rPr>
        <w:instrText xml:space="preserve"> REF _Ref374352126 \r \h </w:instrText>
      </w:r>
      <w:r w:rsidR="003B6D48" w:rsidRPr="003B6D48">
        <w:rPr>
          <w:rFonts w:ascii="Constantia" w:eastAsia="Calibri" w:hAnsi="Constantia" w:cs="Times New Roman"/>
          <w:sz w:val="21"/>
          <w:szCs w:val="21"/>
          <w:lang w:val="en-US"/>
        </w:rPr>
        <w:instrText xml:space="preserve"> \* MERGEFORMAT </w:instrText>
      </w:r>
      <w:r w:rsidRPr="003B6D48">
        <w:rPr>
          <w:rFonts w:ascii="Constantia" w:eastAsia="Calibri" w:hAnsi="Constantia" w:cs="Times New Roman"/>
          <w:sz w:val="21"/>
          <w:szCs w:val="21"/>
        </w:rPr>
      </w:r>
      <w:r w:rsidRPr="003B6D48">
        <w:rPr>
          <w:rFonts w:ascii="Constantia" w:eastAsia="Calibri" w:hAnsi="Constantia" w:cs="Times New Roman"/>
          <w:sz w:val="21"/>
          <w:szCs w:val="21"/>
        </w:rPr>
        <w:fldChar w:fldCharType="separate"/>
      </w:r>
      <w:r w:rsidR="00966E67">
        <w:rPr>
          <w:rFonts w:ascii="Constantia" w:eastAsia="Calibri" w:hAnsi="Constantia" w:cs="Times New Roman"/>
          <w:sz w:val="21"/>
          <w:szCs w:val="21"/>
          <w:lang w:val="en-US"/>
        </w:rPr>
        <w:t>7.3</w:t>
      </w:r>
      <w:r w:rsidRPr="003B6D48">
        <w:rPr>
          <w:rFonts w:ascii="Constantia" w:eastAsia="Calibri" w:hAnsi="Constantia" w:cs="Times New Roman"/>
          <w:sz w:val="21"/>
          <w:szCs w:val="21"/>
        </w:rPr>
        <w:fldChar w:fldCharType="end"/>
      </w:r>
      <w:r w:rsidRPr="003B6D48">
        <w:rPr>
          <w:rFonts w:ascii="Constantia" w:eastAsia="Calibri" w:hAnsi="Constantia" w:cs="Times New Roman"/>
          <w:sz w:val="21"/>
          <w:szCs w:val="21"/>
          <w:lang w:val="en-US"/>
        </w:rPr>
        <w:t xml:space="preserve"> third last paragraph</w:t>
      </w:r>
      <w:r w:rsidRPr="003B6D48">
        <w:rPr>
          <w:rFonts w:ascii="Constantia" w:hAnsi="Constantia"/>
          <w:sz w:val="21"/>
          <w:szCs w:val="21"/>
          <w:lang w:val="en-GB"/>
        </w:rPr>
        <w:t xml:space="preserve">. Shares which vest </w:t>
      </w:r>
      <w:proofErr w:type="gramStart"/>
      <w:r w:rsidRPr="003B6D48">
        <w:rPr>
          <w:rFonts w:ascii="Constantia" w:hAnsi="Constantia"/>
          <w:sz w:val="21"/>
          <w:szCs w:val="21"/>
          <w:lang w:val="en-GB"/>
        </w:rPr>
        <w:t>as a consequence of</w:t>
      </w:r>
      <w:proofErr w:type="gramEnd"/>
      <w:r w:rsidRPr="003B6D48">
        <w:rPr>
          <w:rFonts w:ascii="Constantia" w:hAnsi="Constantia"/>
          <w:sz w:val="21"/>
          <w:szCs w:val="21"/>
          <w:lang w:val="en-GB"/>
        </w:rPr>
        <w:t xml:space="preserve"> such subscription shall be the subject of interim registration on a central securities depository account, and consequently shall not be entitled to participate in the new issue.</w:t>
      </w:r>
    </w:p>
    <w:p w14:paraId="0E9FEF7B"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 xml:space="preserve">In the event of subscription which is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at such time that a right to participate in the new issue does not vest, a recalculated subscription price shall be applied, as well as a recalculation of the number of shares to which each warrant provides an entitlement to subscribe. The recalculations shall be made by the company based on the following formulae:</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7876CA80" w14:textId="77777777" w:rsidTr="00C578EE">
        <w:trPr>
          <w:cantSplit/>
        </w:trPr>
        <w:tc>
          <w:tcPr>
            <w:tcW w:w="2410" w:type="dxa"/>
            <w:vMerge w:val="restart"/>
            <w:tcBorders>
              <w:bottom w:val="nil"/>
            </w:tcBorders>
          </w:tcPr>
          <w:p w14:paraId="28B303FF" w14:textId="77777777" w:rsidR="00C578EE" w:rsidRPr="003B6D48" w:rsidRDefault="00C578EE" w:rsidP="00C578EE">
            <w:pPr>
              <w:spacing w:after="0"/>
              <w:rPr>
                <w:rFonts w:ascii="Constantia" w:eastAsia="Calibri" w:hAnsi="Constantia" w:cs="Times New Roman"/>
                <w:sz w:val="21"/>
                <w:szCs w:val="21"/>
                <w:lang w:val="en-GB"/>
              </w:rPr>
            </w:pPr>
          </w:p>
          <w:p w14:paraId="76AD1DF5" w14:textId="77777777" w:rsidR="00C578EE" w:rsidRPr="003B6D48" w:rsidRDefault="00C578EE" w:rsidP="00C578EE">
            <w:pPr>
              <w:spacing w:after="0"/>
              <w:rPr>
                <w:rFonts w:ascii="Constantia" w:eastAsia="Calibri" w:hAnsi="Constantia" w:cs="Times New Roman"/>
                <w:sz w:val="21"/>
                <w:szCs w:val="21"/>
                <w:lang w:val="en-GB"/>
              </w:rPr>
            </w:pPr>
          </w:p>
          <w:p w14:paraId="6A63356A" w14:textId="77777777" w:rsidR="00C578EE" w:rsidRPr="003B6D48" w:rsidRDefault="00C578EE" w:rsidP="00C578EE">
            <w:pPr>
              <w:spacing w:after="0"/>
              <w:rPr>
                <w:rFonts w:ascii="Constantia" w:eastAsia="Calibri" w:hAnsi="Constantia" w:cs="Times New Roman"/>
                <w:sz w:val="21"/>
                <w:szCs w:val="21"/>
                <w:lang w:val="en-GB"/>
              </w:rPr>
            </w:pPr>
          </w:p>
          <w:p w14:paraId="7B05159F"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subscription price</w:t>
            </w:r>
          </w:p>
        </w:tc>
        <w:tc>
          <w:tcPr>
            <w:tcW w:w="708" w:type="dxa"/>
            <w:vMerge w:val="restart"/>
            <w:tcBorders>
              <w:bottom w:val="nil"/>
            </w:tcBorders>
          </w:tcPr>
          <w:p w14:paraId="0D1B671B" w14:textId="77777777" w:rsidR="00C578EE" w:rsidRPr="003B6D48" w:rsidRDefault="00C578EE" w:rsidP="00C578EE">
            <w:pPr>
              <w:spacing w:after="0"/>
              <w:rPr>
                <w:rFonts w:ascii="Constantia" w:eastAsia="Calibri" w:hAnsi="Constantia" w:cs="Times New Roman"/>
                <w:sz w:val="21"/>
                <w:szCs w:val="21"/>
                <w:lang w:val="en-GB"/>
              </w:rPr>
            </w:pPr>
          </w:p>
          <w:p w14:paraId="6F4F317A" w14:textId="77777777" w:rsidR="00C578EE" w:rsidRPr="003B6D48" w:rsidRDefault="00C578EE" w:rsidP="00C578EE">
            <w:pPr>
              <w:spacing w:after="0"/>
              <w:jc w:val="center"/>
              <w:rPr>
                <w:rFonts w:ascii="Constantia" w:eastAsia="Calibri" w:hAnsi="Constantia" w:cs="Times New Roman"/>
                <w:sz w:val="21"/>
                <w:szCs w:val="21"/>
                <w:lang w:val="en-GB"/>
              </w:rPr>
            </w:pPr>
          </w:p>
          <w:p w14:paraId="4C29F7C7" w14:textId="77777777" w:rsidR="00C578EE" w:rsidRPr="003B6D48" w:rsidRDefault="00C578EE" w:rsidP="00C578EE">
            <w:pPr>
              <w:spacing w:after="0"/>
              <w:jc w:val="center"/>
              <w:rPr>
                <w:rFonts w:ascii="Constantia" w:eastAsia="Calibri" w:hAnsi="Constantia" w:cs="Times New Roman"/>
                <w:sz w:val="21"/>
                <w:szCs w:val="21"/>
                <w:lang w:val="en-GB"/>
              </w:rPr>
            </w:pPr>
          </w:p>
          <w:p w14:paraId="01135AD9"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5E90EA3B"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previous subscription price x the share’s average listed price during the subscription period established in the new issue resolution (the share’s average price) </w:t>
            </w:r>
          </w:p>
        </w:tc>
      </w:tr>
      <w:tr w:rsidR="00C81799" w:rsidRPr="004E41F1" w14:paraId="44C50889" w14:textId="77777777" w:rsidTr="00C578EE">
        <w:trPr>
          <w:cantSplit/>
        </w:trPr>
        <w:tc>
          <w:tcPr>
            <w:tcW w:w="2410" w:type="dxa"/>
            <w:vMerge/>
            <w:tcBorders>
              <w:top w:val="nil"/>
              <w:bottom w:val="nil"/>
            </w:tcBorders>
          </w:tcPr>
          <w:p w14:paraId="0043797B"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3798033B"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5DC0B3F8"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 increased by the theoretical value of the warrant calculated on the basis thereof</w:t>
            </w:r>
          </w:p>
        </w:tc>
      </w:tr>
    </w:tbl>
    <w:p w14:paraId="55E548A2" w14:textId="77777777" w:rsidR="00C578EE" w:rsidRPr="003B6D48" w:rsidRDefault="00C578EE" w:rsidP="00C578EE">
      <w:pPr>
        <w:spacing w:after="0"/>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3B0D0DCD" w14:textId="77777777" w:rsidTr="00C578EE">
        <w:trPr>
          <w:cantSplit/>
        </w:trPr>
        <w:tc>
          <w:tcPr>
            <w:tcW w:w="2410" w:type="dxa"/>
            <w:vMerge w:val="restart"/>
            <w:tcBorders>
              <w:bottom w:val="nil"/>
            </w:tcBorders>
          </w:tcPr>
          <w:p w14:paraId="58205906" w14:textId="77777777" w:rsidR="00C578EE" w:rsidRPr="003B6D48" w:rsidRDefault="00C578EE" w:rsidP="00C578EE">
            <w:pPr>
              <w:spacing w:after="0"/>
              <w:rPr>
                <w:rFonts w:ascii="Constantia" w:eastAsia="Calibri" w:hAnsi="Constantia" w:cs="Times New Roman"/>
                <w:sz w:val="21"/>
                <w:szCs w:val="21"/>
                <w:lang w:val="en-GB"/>
              </w:rPr>
            </w:pPr>
          </w:p>
          <w:p w14:paraId="6C0423C7" w14:textId="77777777" w:rsidR="00C578EE" w:rsidRPr="003B6D48" w:rsidRDefault="00C578EE" w:rsidP="00C578EE">
            <w:pPr>
              <w:spacing w:after="0"/>
              <w:rPr>
                <w:rFonts w:ascii="Constantia" w:eastAsia="Calibri" w:hAnsi="Constantia" w:cs="Times New Roman"/>
                <w:sz w:val="21"/>
                <w:szCs w:val="21"/>
                <w:lang w:val="en-GB"/>
              </w:rPr>
            </w:pPr>
          </w:p>
          <w:p w14:paraId="75DD7902"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number of shares to which each warrant provides an entitlement to subscribe</w:t>
            </w:r>
          </w:p>
        </w:tc>
        <w:tc>
          <w:tcPr>
            <w:tcW w:w="708" w:type="dxa"/>
            <w:vMerge w:val="restart"/>
            <w:tcBorders>
              <w:bottom w:val="nil"/>
            </w:tcBorders>
          </w:tcPr>
          <w:p w14:paraId="4C783B56" w14:textId="77777777" w:rsidR="00C578EE" w:rsidRPr="003B6D48" w:rsidRDefault="00C578EE" w:rsidP="00C578EE">
            <w:pPr>
              <w:spacing w:after="0"/>
              <w:jc w:val="center"/>
              <w:rPr>
                <w:rFonts w:ascii="Constantia" w:eastAsia="Calibri" w:hAnsi="Constantia" w:cs="Times New Roman"/>
                <w:sz w:val="21"/>
                <w:szCs w:val="21"/>
                <w:lang w:val="en-GB"/>
              </w:rPr>
            </w:pPr>
          </w:p>
          <w:p w14:paraId="3B892497" w14:textId="77777777" w:rsidR="00C578EE" w:rsidRPr="003B6D48" w:rsidRDefault="00C578EE" w:rsidP="00C578EE">
            <w:pPr>
              <w:spacing w:after="0"/>
              <w:jc w:val="center"/>
              <w:rPr>
                <w:rFonts w:ascii="Constantia" w:eastAsia="Calibri" w:hAnsi="Constantia" w:cs="Times New Roman"/>
                <w:sz w:val="21"/>
                <w:szCs w:val="21"/>
                <w:lang w:val="en-GB"/>
              </w:rPr>
            </w:pPr>
          </w:p>
          <w:p w14:paraId="174D803C" w14:textId="77777777" w:rsidR="00C578EE" w:rsidRPr="003B6D48" w:rsidRDefault="00C578EE" w:rsidP="00C578EE">
            <w:pPr>
              <w:spacing w:after="0"/>
              <w:jc w:val="center"/>
              <w:rPr>
                <w:rFonts w:ascii="Constantia" w:eastAsia="Calibri" w:hAnsi="Constantia" w:cs="Times New Roman"/>
                <w:sz w:val="21"/>
                <w:szCs w:val="21"/>
                <w:lang w:val="en-GB"/>
              </w:rPr>
            </w:pPr>
          </w:p>
          <w:p w14:paraId="133D4D4D" w14:textId="77777777" w:rsidR="00C578EE" w:rsidRPr="003B6D48" w:rsidRDefault="00C578EE" w:rsidP="00C578EE">
            <w:pPr>
              <w:spacing w:after="0"/>
              <w:jc w:val="center"/>
              <w:rPr>
                <w:rFonts w:ascii="Constantia" w:eastAsia="Calibri" w:hAnsi="Constantia" w:cs="Times New Roman"/>
                <w:sz w:val="21"/>
                <w:szCs w:val="21"/>
                <w:lang w:val="en-GB"/>
              </w:rPr>
            </w:pPr>
          </w:p>
          <w:p w14:paraId="31CB2BBC"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5A599DF1"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number of shares to which each warrant provides an entitlement to subscribe x (the share’s average price increased by the theoretical value of the warrant calculated on the basis thereof)</w:t>
            </w:r>
          </w:p>
        </w:tc>
      </w:tr>
      <w:tr w:rsidR="00C81799" w14:paraId="52107363" w14:textId="77777777" w:rsidTr="00C578EE">
        <w:trPr>
          <w:cantSplit/>
        </w:trPr>
        <w:tc>
          <w:tcPr>
            <w:tcW w:w="2410" w:type="dxa"/>
            <w:vMerge/>
            <w:tcBorders>
              <w:top w:val="nil"/>
              <w:bottom w:val="nil"/>
            </w:tcBorders>
          </w:tcPr>
          <w:p w14:paraId="7ED756D9"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262BB9D2"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768471D8"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w:t>
            </w:r>
          </w:p>
        </w:tc>
      </w:tr>
    </w:tbl>
    <w:p w14:paraId="5C2789FC" w14:textId="77777777" w:rsidR="00C578EE" w:rsidRPr="003B6D48" w:rsidRDefault="00C578EE" w:rsidP="00C578EE">
      <w:pPr>
        <w:ind w:left="720"/>
        <w:rPr>
          <w:rFonts w:ascii="Constantia" w:eastAsia="Calibri" w:hAnsi="Constantia" w:cs="Times New Roman"/>
          <w:sz w:val="21"/>
          <w:szCs w:val="21"/>
          <w:lang w:val="en-GB"/>
        </w:rPr>
      </w:pPr>
    </w:p>
    <w:p w14:paraId="73E56D66"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share’s average price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43A2CEA0"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theoretical value of the subscription right shall be calculated in accordance with the following formula:</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403C4F4A" w14:textId="77777777" w:rsidTr="00C578EE">
        <w:trPr>
          <w:cantSplit/>
        </w:trPr>
        <w:tc>
          <w:tcPr>
            <w:tcW w:w="2410" w:type="dxa"/>
            <w:vMerge w:val="restart"/>
            <w:tcBorders>
              <w:bottom w:val="nil"/>
            </w:tcBorders>
          </w:tcPr>
          <w:p w14:paraId="57DDB19B" w14:textId="77777777" w:rsidR="00C578EE" w:rsidRPr="003B6D48" w:rsidRDefault="00C578EE" w:rsidP="00C578EE">
            <w:pPr>
              <w:spacing w:after="0"/>
              <w:rPr>
                <w:rFonts w:ascii="Constantia" w:eastAsia="Calibri" w:hAnsi="Constantia" w:cs="Times New Roman"/>
                <w:sz w:val="21"/>
                <w:szCs w:val="21"/>
                <w:lang w:val="en-GB"/>
              </w:rPr>
            </w:pPr>
          </w:p>
          <w:p w14:paraId="6EF36D35" w14:textId="77777777" w:rsidR="00C578EE" w:rsidRPr="003B6D48" w:rsidRDefault="00C578EE" w:rsidP="00C578EE">
            <w:pPr>
              <w:spacing w:after="0"/>
              <w:rPr>
                <w:rFonts w:ascii="Constantia" w:eastAsia="Calibri" w:hAnsi="Constantia" w:cs="Times New Roman"/>
                <w:sz w:val="21"/>
                <w:szCs w:val="21"/>
                <w:lang w:val="en-GB"/>
              </w:rPr>
            </w:pPr>
          </w:p>
          <w:p w14:paraId="0BB18BA9" w14:textId="77777777" w:rsidR="00C578EE" w:rsidRPr="003B6D48" w:rsidRDefault="00C578EE" w:rsidP="00C578EE">
            <w:pPr>
              <w:spacing w:after="0"/>
              <w:rPr>
                <w:rFonts w:ascii="Constantia" w:eastAsia="Calibri" w:hAnsi="Constantia" w:cs="Times New Roman"/>
                <w:sz w:val="21"/>
                <w:szCs w:val="21"/>
                <w:lang w:val="en-GB"/>
              </w:rPr>
            </w:pPr>
          </w:p>
          <w:p w14:paraId="35477A2F"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value of the subscription right</w:t>
            </w:r>
          </w:p>
        </w:tc>
        <w:tc>
          <w:tcPr>
            <w:tcW w:w="708" w:type="dxa"/>
            <w:vMerge w:val="restart"/>
            <w:tcBorders>
              <w:bottom w:val="nil"/>
            </w:tcBorders>
          </w:tcPr>
          <w:p w14:paraId="122721DD" w14:textId="77777777" w:rsidR="00C578EE" w:rsidRPr="003B6D48" w:rsidRDefault="00C578EE" w:rsidP="00C578EE">
            <w:pPr>
              <w:spacing w:after="0"/>
              <w:rPr>
                <w:rFonts w:ascii="Constantia" w:eastAsia="Calibri" w:hAnsi="Constantia" w:cs="Times New Roman"/>
                <w:sz w:val="21"/>
                <w:szCs w:val="21"/>
                <w:lang w:val="en-GB"/>
              </w:rPr>
            </w:pPr>
          </w:p>
          <w:p w14:paraId="024AC506" w14:textId="77777777" w:rsidR="00C578EE" w:rsidRPr="003B6D48" w:rsidRDefault="00C578EE" w:rsidP="00C578EE">
            <w:pPr>
              <w:spacing w:after="0"/>
              <w:rPr>
                <w:rFonts w:ascii="Constantia" w:eastAsia="Calibri" w:hAnsi="Constantia" w:cs="Times New Roman"/>
                <w:sz w:val="21"/>
                <w:szCs w:val="21"/>
                <w:lang w:val="en-GB"/>
              </w:rPr>
            </w:pPr>
          </w:p>
          <w:p w14:paraId="09753154" w14:textId="77777777" w:rsidR="00C578EE" w:rsidRPr="003B6D48" w:rsidRDefault="00C578EE" w:rsidP="00C578EE">
            <w:pPr>
              <w:spacing w:after="0"/>
              <w:rPr>
                <w:rFonts w:ascii="Constantia" w:eastAsia="Calibri" w:hAnsi="Constantia" w:cs="Times New Roman"/>
                <w:sz w:val="21"/>
                <w:szCs w:val="21"/>
                <w:lang w:val="en-GB"/>
              </w:rPr>
            </w:pPr>
          </w:p>
          <w:p w14:paraId="6FF21531"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3523FA0B"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maximum number of shares which may be issued pursuant to the new issue resolution x (the share’s average price less the subscription for the new share) </w:t>
            </w:r>
          </w:p>
        </w:tc>
      </w:tr>
      <w:tr w:rsidR="00C81799" w:rsidRPr="004E41F1" w14:paraId="2AE39DDD" w14:textId="77777777" w:rsidTr="00C578EE">
        <w:trPr>
          <w:cantSplit/>
        </w:trPr>
        <w:tc>
          <w:tcPr>
            <w:tcW w:w="2410" w:type="dxa"/>
            <w:vMerge/>
            <w:tcBorders>
              <w:top w:val="nil"/>
              <w:bottom w:val="nil"/>
            </w:tcBorders>
          </w:tcPr>
          <w:p w14:paraId="64BA94CF"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64EBBB9D"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42895DE3"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number of shares prior to adoption of the new issue resolution</w:t>
            </w:r>
          </w:p>
        </w:tc>
      </w:tr>
    </w:tbl>
    <w:p w14:paraId="792BFD4D" w14:textId="77777777" w:rsidR="00C578EE" w:rsidRPr="003B6D48" w:rsidRDefault="00C578EE" w:rsidP="00C578EE">
      <w:pPr>
        <w:ind w:left="720"/>
        <w:rPr>
          <w:rFonts w:ascii="Constantia" w:eastAsia="Calibri" w:hAnsi="Constantia" w:cs="Times New Roman"/>
          <w:sz w:val="21"/>
          <w:szCs w:val="21"/>
          <w:lang w:val="en-GB"/>
        </w:rPr>
      </w:pPr>
    </w:p>
    <w:p w14:paraId="27A160E5"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Recalculation in accordance with the above shall be made without regard to shares owned by the company or subsidiaries of the company. Should a negative value be established herewith, the theoretical value of the warrant shall be determined to be zero.</w:t>
      </w:r>
    </w:p>
    <w:p w14:paraId="750EF6A6"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recalculated subscription price and the recalculated number of shares shall be determined by the company two banking days after the expiry of the subscription period and shall be applied to subscription for shares effected thereafter.</w:t>
      </w:r>
    </w:p>
    <w:p w14:paraId="5A1926C1"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During the period pending determination of a recalculated subscription price and recalculated number of shares, subscription for shares shall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only on a preliminary basis, whereupon the number of shares to which each warrant provides an entitlement to subscribe prior to the recalculation shall be registered on an interim basis on a central securities depository account. In addition, it is specifically noted that, following recalculations, each warrant may carry an entitlement to additional shares. Final registration on the central securities depository account shall take place after the recalculations have been determined. In the event the company is not a central securities depository company, subscription shall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through the new shares being entered in the share register as interim shares. Final registration in the share register shall be made once the recalculations have been determined.</w:t>
      </w:r>
    </w:p>
    <w:p w14:paraId="11F09C0C" w14:textId="65D55B04" w:rsidR="00C578EE" w:rsidRPr="003B6D48" w:rsidRDefault="009A55EB" w:rsidP="00C578EE">
      <w:pPr>
        <w:numPr>
          <w:ilvl w:val="1"/>
          <w:numId w:val="21"/>
        </w:numPr>
        <w:rPr>
          <w:rFonts w:ascii="Constantia" w:eastAsia="Times New Roman" w:hAnsi="Constantia" w:cs="Times New Roman"/>
          <w:bCs/>
          <w:sz w:val="21"/>
          <w:szCs w:val="21"/>
          <w:lang w:val="en-GB"/>
        </w:rPr>
      </w:pPr>
      <w:bookmarkStart w:id="14" w:name="_Ref374352239"/>
      <w:r w:rsidRPr="003B6D48">
        <w:rPr>
          <w:rFonts w:ascii="Constantia" w:hAnsi="Constantia"/>
          <w:sz w:val="21"/>
          <w:szCs w:val="21"/>
          <w:lang w:val="en-GB"/>
        </w:rPr>
        <w:t xml:space="preserve">Where the company issues </w:t>
      </w:r>
      <w:r w:rsidRPr="003B6D48">
        <w:rPr>
          <w:rFonts w:ascii="Constantia" w:hAnsi="Constantia"/>
          <w:b/>
          <w:sz w:val="21"/>
          <w:szCs w:val="21"/>
          <w:lang w:val="en-GB"/>
        </w:rPr>
        <w:t>warrants</w:t>
      </w:r>
      <w:r w:rsidRPr="003B6D48">
        <w:rPr>
          <w:rFonts w:ascii="Constantia" w:hAnsi="Constantia"/>
          <w:sz w:val="21"/>
          <w:szCs w:val="21"/>
          <w:lang w:val="en-GB"/>
        </w:rPr>
        <w:t xml:space="preserve"> or </w:t>
      </w:r>
      <w:r w:rsidRPr="003B6D48">
        <w:rPr>
          <w:rFonts w:ascii="Constantia" w:hAnsi="Constantia"/>
          <w:b/>
          <w:sz w:val="21"/>
          <w:szCs w:val="21"/>
          <w:lang w:val="en-GB"/>
        </w:rPr>
        <w:t>convertible debentures</w:t>
      </w:r>
      <w:r w:rsidRPr="003B6D48">
        <w:rPr>
          <w:rFonts w:ascii="Constantia" w:hAnsi="Constantia"/>
          <w:sz w:val="21"/>
          <w:szCs w:val="21"/>
          <w:lang w:val="en-GB"/>
        </w:rPr>
        <w:t xml:space="preserve"> with pre-emption rights for the shareholders, the provisions of section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_Ref374352126 \r \h </w:instrText>
      </w:r>
      <w:r w:rsidR="003B6D48" w:rsidRPr="003B6D48">
        <w:rPr>
          <w:rFonts w:ascii="Constantia" w:eastAsia="Times New Roman" w:hAnsi="Constantia" w:cs="Times New Roman"/>
          <w:bCs/>
          <w:sz w:val="21"/>
          <w:szCs w:val="21"/>
          <w:lang w:val="en-GB"/>
        </w:rPr>
        <w:instrText xml:space="preserve">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7.3</w:t>
      </w:r>
      <w:r w:rsidRPr="003B6D48">
        <w:rPr>
          <w:rFonts w:ascii="Constantia" w:eastAsia="Times New Roman" w:hAnsi="Constantia" w:cs="Times New Roman"/>
          <w:bCs/>
          <w:sz w:val="21"/>
          <w:szCs w:val="21"/>
          <w:lang w:val="en-GB"/>
        </w:rPr>
        <w:fldChar w:fldCharType="end"/>
      </w:r>
      <w:r w:rsidRPr="003B6D48">
        <w:rPr>
          <w:rFonts w:ascii="Constantia" w:hAnsi="Constantia"/>
          <w:sz w:val="21"/>
          <w:szCs w:val="21"/>
          <w:lang w:val="en-GB"/>
        </w:rPr>
        <w:t xml:space="preserve"> regarding the right to participate in a new issue by virtue of shares which vest through subscription shall apply mutatis mutandis.</w:t>
      </w:r>
    </w:p>
    <w:bookmarkEnd w:id="14"/>
    <w:p w14:paraId="569F3B58"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lastRenderedPageBreak/>
        <w:t>In the event of subscription at such time that a right to participate in the issue does not vest, a recalculated subscription price and recalculated number of shares provided by each warrant shall be applied.</w:t>
      </w:r>
    </w:p>
    <w:p w14:paraId="35B487A5"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recalculations shall be made by the company in accordance with the following formulae:</w:t>
      </w: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1480FFBD" w14:textId="77777777" w:rsidTr="00C578EE">
        <w:trPr>
          <w:cantSplit/>
        </w:trPr>
        <w:tc>
          <w:tcPr>
            <w:tcW w:w="2410" w:type="dxa"/>
            <w:vMerge w:val="restart"/>
            <w:tcBorders>
              <w:bottom w:val="nil"/>
            </w:tcBorders>
          </w:tcPr>
          <w:p w14:paraId="69C49543"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US"/>
              </w:rPr>
              <w:br w:type="page"/>
            </w:r>
          </w:p>
          <w:p w14:paraId="359F20C1" w14:textId="77777777" w:rsidR="00C578EE" w:rsidRPr="003B6D48" w:rsidRDefault="00C578EE" w:rsidP="00C578EE">
            <w:pPr>
              <w:spacing w:after="0"/>
              <w:rPr>
                <w:rFonts w:ascii="Constantia" w:eastAsia="Calibri" w:hAnsi="Constantia" w:cs="Times New Roman"/>
                <w:sz w:val="21"/>
                <w:szCs w:val="21"/>
                <w:lang w:val="en-GB"/>
              </w:rPr>
            </w:pPr>
          </w:p>
          <w:p w14:paraId="34B857CB" w14:textId="77777777" w:rsidR="00C578EE" w:rsidRPr="003B6D48" w:rsidRDefault="00C578EE" w:rsidP="00C578EE">
            <w:pPr>
              <w:spacing w:after="0"/>
              <w:rPr>
                <w:rFonts w:ascii="Constantia" w:eastAsia="Calibri" w:hAnsi="Constantia" w:cs="Times New Roman"/>
                <w:sz w:val="21"/>
                <w:szCs w:val="21"/>
                <w:lang w:val="en-GB"/>
              </w:rPr>
            </w:pPr>
          </w:p>
          <w:p w14:paraId="1F0CCBC2"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subscription price</w:t>
            </w:r>
          </w:p>
        </w:tc>
        <w:tc>
          <w:tcPr>
            <w:tcW w:w="708" w:type="dxa"/>
            <w:vMerge w:val="restart"/>
            <w:tcBorders>
              <w:bottom w:val="nil"/>
            </w:tcBorders>
          </w:tcPr>
          <w:p w14:paraId="48F1901E" w14:textId="77777777" w:rsidR="00C578EE" w:rsidRPr="003B6D48" w:rsidRDefault="00C578EE" w:rsidP="00C578EE">
            <w:pPr>
              <w:spacing w:after="0"/>
              <w:jc w:val="center"/>
              <w:rPr>
                <w:rFonts w:ascii="Constantia" w:eastAsia="Calibri" w:hAnsi="Constantia" w:cs="Times New Roman"/>
                <w:sz w:val="21"/>
                <w:szCs w:val="21"/>
                <w:lang w:val="en-GB"/>
              </w:rPr>
            </w:pPr>
          </w:p>
          <w:p w14:paraId="7632A30A" w14:textId="77777777" w:rsidR="00C578EE" w:rsidRPr="003B6D48" w:rsidRDefault="00C578EE" w:rsidP="00C578EE">
            <w:pPr>
              <w:spacing w:after="0"/>
              <w:jc w:val="center"/>
              <w:rPr>
                <w:rFonts w:ascii="Constantia" w:eastAsia="Calibri" w:hAnsi="Constantia" w:cs="Times New Roman"/>
                <w:sz w:val="21"/>
                <w:szCs w:val="21"/>
                <w:lang w:val="en-GB"/>
              </w:rPr>
            </w:pPr>
          </w:p>
          <w:p w14:paraId="0FA5B62A" w14:textId="77777777" w:rsidR="00C578EE" w:rsidRPr="003B6D48" w:rsidRDefault="00C578EE" w:rsidP="00C578EE">
            <w:pPr>
              <w:spacing w:after="0"/>
              <w:jc w:val="center"/>
              <w:rPr>
                <w:rFonts w:ascii="Constantia" w:eastAsia="Calibri" w:hAnsi="Constantia" w:cs="Times New Roman"/>
                <w:sz w:val="21"/>
                <w:szCs w:val="21"/>
                <w:lang w:val="en-GB"/>
              </w:rPr>
            </w:pPr>
          </w:p>
          <w:p w14:paraId="634A22BA"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2E231FA0"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previous subscription price x the share’s average listed price during the subscription period established in the resolution regarding the issue (the share’s average price) </w:t>
            </w:r>
          </w:p>
        </w:tc>
      </w:tr>
      <w:tr w:rsidR="00C81799" w:rsidRPr="004E41F1" w14:paraId="4990A2F6" w14:textId="77777777" w:rsidTr="00C578EE">
        <w:trPr>
          <w:cantSplit/>
        </w:trPr>
        <w:tc>
          <w:tcPr>
            <w:tcW w:w="2410" w:type="dxa"/>
            <w:vMerge/>
            <w:tcBorders>
              <w:top w:val="nil"/>
              <w:bottom w:val="nil"/>
            </w:tcBorders>
          </w:tcPr>
          <w:p w14:paraId="33DFBB7F"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2928B5B4"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19CF8792"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 increased by the value of the subscription right</w:t>
            </w:r>
          </w:p>
        </w:tc>
      </w:tr>
    </w:tbl>
    <w:p w14:paraId="4CC896AD" w14:textId="77777777" w:rsidR="00C578EE" w:rsidRPr="003B6D48" w:rsidRDefault="00C578EE" w:rsidP="00C578EE">
      <w:pPr>
        <w:spacing w:after="0"/>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0A2BC125" w14:textId="77777777" w:rsidTr="00C578EE">
        <w:trPr>
          <w:cantSplit/>
        </w:trPr>
        <w:tc>
          <w:tcPr>
            <w:tcW w:w="2410" w:type="dxa"/>
            <w:vMerge w:val="restart"/>
            <w:tcBorders>
              <w:bottom w:val="nil"/>
            </w:tcBorders>
          </w:tcPr>
          <w:p w14:paraId="4649467C"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number of shares to which each warrant provides an entitlement to subscribe</w:t>
            </w:r>
          </w:p>
        </w:tc>
        <w:tc>
          <w:tcPr>
            <w:tcW w:w="708" w:type="dxa"/>
            <w:vMerge w:val="restart"/>
            <w:tcBorders>
              <w:bottom w:val="nil"/>
            </w:tcBorders>
          </w:tcPr>
          <w:p w14:paraId="0421E282" w14:textId="77777777" w:rsidR="00C578EE" w:rsidRPr="003B6D48" w:rsidRDefault="00C578EE" w:rsidP="00C578EE">
            <w:pPr>
              <w:spacing w:after="0"/>
              <w:rPr>
                <w:rFonts w:ascii="Constantia" w:eastAsia="Calibri" w:hAnsi="Constantia" w:cs="Times New Roman"/>
                <w:sz w:val="21"/>
                <w:szCs w:val="21"/>
                <w:lang w:val="en-GB"/>
              </w:rPr>
            </w:pPr>
          </w:p>
          <w:p w14:paraId="22FB5870" w14:textId="77777777" w:rsidR="00C578EE" w:rsidRPr="003B6D48" w:rsidRDefault="00C578EE" w:rsidP="00C578EE">
            <w:pPr>
              <w:spacing w:after="0"/>
              <w:jc w:val="center"/>
              <w:rPr>
                <w:rFonts w:ascii="Constantia" w:eastAsia="Calibri" w:hAnsi="Constantia" w:cs="Times New Roman"/>
                <w:sz w:val="21"/>
                <w:szCs w:val="21"/>
                <w:lang w:val="en-GB"/>
              </w:rPr>
            </w:pPr>
          </w:p>
          <w:p w14:paraId="1F7C97E8" w14:textId="77777777" w:rsidR="00C578EE" w:rsidRPr="003B6D48" w:rsidRDefault="00C578EE" w:rsidP="00C578EE">
            <w:pPr>
              <w:spacing w:after="0"/>
              <w:jc w:val="center"/>
              <w:rPr>
                <w:rFonts w:ascii="Constantia" w:eastAsia="Calibri" w:hAnsi="Constantia" w:cs="Times New Roman"/>
                <w:sz w:val="21"/>
                <w:szCs w:val="21"/>
                <w:lang w:val="en-GB"/>
              </w:rPr>
            </w:pPr>
          </w:p>
          <w:p w14:paraId="09DC633F"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66D811B2"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previous number of shares to which each warrant provides an entitlement to subscribe x (the share’s average price increased by the value of the subscription right) </w:t>
            </w:r>
          </w:p>
        </w:tc>
      </w:tr>
      <w:tr w:rsidR="00C81799" w14:paraId="0233DF53" w14:textId="77777777" w:rsidTr="00C578EE">
        <w:trPr>
          <w:cantSplit/>
        </w:trPr>
        <w:tc>
          <w:tcPr>
            <w:tcW w:w="2410" w:type="dxa"/>
            <w:vMerge/>
            <w:tcBorders>
              <w:top w:val="nil"/>
              <w:bottom w:val="nil"/>
            </w:tcBorders>
          </w:tcPr>
          <w:p w14:paraId="4B9D55FF"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6DF90242"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04D88A07"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w:t>
            </w:r>
          </w:p>
        </w:tc>
      </w:tr>
    </w:tbl>
    <w:p w14:paraId="1B0B3026" w14:textId="77777777" w:rsidR="00C578EE" w:rsidRPr="003B6D48" w:rsidRDefault="00C578EE" w:rsidP="00C578EE">
      <w:pPr>
        <w:ind w:left="720"/>
        <w:rPr>
          <w:rFonts w:ascii="Constantia" w:eastAsia="Calibri" w:hAnsi="Constantia" w:cs="Times New Roman"/>
          <w:sz w:val="21"/>
          <w:szCs w:val="21"/>
          <w:lang w:val="en-GB"/>
        </w:rPr>
      </w:pPr>
    </w:p>
    <w:p w14:paraId="1742CFBE" w14:textId="1934B446"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share average price shall be calculated in accordance with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w:t>
      </w:r>
    </w:p>
    <w:p w14:paraId="79285D66"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value of the subscription right shall be deemed to correspond to the average of the calculated mean values, for each trading day during the subscription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1C9406CC"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recalculated subscription price and the recalculated number of shares shall be determined by the company two banking days after the expiry of the subscription period and shall be applied to subscription of shares effected thereafter.</w:t>
      </w:r>
    </w:p>
    <w:p w14:paraId="75D57395" w14:textId="654BBF92"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the event of subscription for shares effected during the </w:t>
      </w:r>
      <w:proofErr w:type="gramStart"/>
      <w:r w:rsidRPr="003B6D48">
        <w:rPr>
          <w:rFonts w:ascii="Constantia" w:hAnsi="Constantia"/>
          <w:sz w:val="21"/>
          <w:szCs w:val="21"/>
          <w:lang w:val="en-GB"/>
        </w:rPr>
        <w:t>period of time</w:t>
      </w:r>
      <w:proofErr w:type="gramEnd"/>
      <w:r w:rsidRPr="003B6D48">
        <w:rPr>
          <w:rFonts w:ascii="Constantia" w:hAnsi="Constantia"/>
          <w:sz w:val="21"/>
          <w:szCs w:val="21"/>
          <w:lang w:val="en-GB"/>
        </w:rPr>
        <w:t xml:space="preserve"> prior to determination of the recalculated subscription price and the recalculated number of shares, the provisions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w:t>
      </w:r>
      <w:r w:rsidRPr="003B6D48">
        <w:rPr>
          <w:rFonts w:ascii="Constantia" w:hAnsi="Constantia"/>
          <w:sz w:val="21"/>
          <w:szCs w:val="21"/>
          <w:lang w:val="en-GB"/>
        </w:rPr>
        <w:t>last paragraph above shall apply mutatis mutandis.</w:t>
      </w:r>
    </w:p>
    <w:p w14:paraId="18C0132B" w14:textId="1D5180B4" w:rsidR="00C578EE" w:rsidRPr="003B6D48" w:rsidRDefault="009A55EB" w:rsidP="00C578EE">
      <w:pPr>
        <w:numPr>
          <w:ilvl w:val="1"/>
          <w:numId w:val="21"/>
        </w:numPr>
        <w:rPr>
          <w:rFonts w:ascii="Constantia" w:eastAsia="Times New Roman" w:hAnsi="Constantia" w:cs="Times New Roman"/>
          <w:bCs/>
          <w:sz w:val="21"/>
          <w:szCs w:val="21"/>
          <w:lang w:val="en-GB"/>
        </w:rPr>
      </w:pPr>
      <w:bookmarkStart w:id="15" w:name="_Ref374352332"/>
      <w:r w:rsidRPr="003B6D48">
        <w:rPr>
          <w:rFonts w:ascii="Constantia" w:eastAsia="Times New Roman" w:hAnsi="Constantia" w:cs="Times New Roman"/>
          <w:bCs/>
          <w:sz w:val="21"/>
          <w:szCs w:val="21"/>
          <w:lang w:val="en-GB"/>
        </w:rPr>
        <w:t xml:space="preserve">In </w:t>
      </w:r>
      <w:r w:rsidRPr="003B6D48">
        <w:rPr>
          <w:rFonts w:ascii="Constantia" w:hAnsi="Constantia"/>
          <w:sz w:val="21"/>
          <w:szCs w:val="21"/>
          <w:lang w:val="en-GB"/>
        </w:rPr>
        <w:t xml:space="preserve">the event the company, in circumstances other than those set forth in sections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_Ref374352087 \r \h </w:instrText>
      </w:r>
      <w:r w:rsidR="003B6D48" w:rsidRPr="003B6D48">
        <w:rPr>
          <w:rFonts w:ascii="Constantia" w:eastAsia="Times New Roman" w:hAnsi="Constantia" w:cs="Times New Roman"/>
          <w:bCs/>
          <w:sz w:val="21"/>
          <w:szCs w:val="21"/>
          <w:lang w:val="en-GB"/>
        </w:rPr>
        <w:instrText xml:space="preserve">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7.1</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_Ref374352239 \r \h </w:instrText>
      </w:r>
      <w:r w:rsidR="003B6D48" w:rsidRPr="003B6D48">
        <w:rPr>
          <w:rFonts w:ascii="Constantia" w:eastAsia="Times New Roman" w:hAnsi="Constantia" w:cs="Times New Roman"/>
          <w:bCs/>
          <w:sz w:val="21"/>
          <w:szCs w:val="21"/>
          <w:lang w:val="en-GB"/>
        </w:rPr>
        <w:instrText xml:space="preserve">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7.4</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 xml:space="preserve"> </w:t>
      </w:r>
      <w:r w:rsidRPr="003B6D48">
        <w:rPr>
          <w:rFonts w:ascii="Constantia" w:hAnsi="Constantia"/>
          <w:sz w:val="21"/>
          <w:szCs w:val="21"/>
          <w:lang w:val="en-GB"/>
        </w:rPr>
        <w:t xml:space="preserve">above, extends an </w:t>
      </w:r>
      <w:r w:rsidRPr="003B6D48">
        <w:rPr>
          <w:rFonts w:ascii="Constantia" w:hAnsi="Constantia"/>
          <w:b/>
          <w:sz w:val="21"/>
          <w:szCs w:val="21"/>
          <w:lang w:val="en-GB"/>
        </w:rPr>
        <w:t>offer to the shareholders</w:t>
      </w:r>
      <w:r w:rsidRPr="003B6D48">
        <w:rPr>
          <w:rFonts w:ascii="Constantia" w:hAnsi="Constantia"/>
          <w:sz w:val="21"/>
          <w:szCs w:val="21"/>
          <w:lang w:val="en-GB"/>
        </w:rPr>
        <w:t xml:space="preserve"> to, with pre-emption right under the principles of Chapter 13 Section 1 first paragraph of the Companies Act or the articles of association, acquire securities or rights of any kind from the company, or resolves to, in accordance with said principles, distribute such securities or rights without consideration (the offer), a recalculated subscription price and recalculated number of shares to which each warrant provides an entitlement to subscribe shall be applied. Recalculation shall be made by the company in accordance with the following formulae:</w:t>
      </w:r>
      <w:bookmarkEnd w:id="15"/>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71B2E2FA" w14:textId="77777777" w:rsidTr="00C578EE">
        <w:trPr>
          <w:cantSplit/>
        </w:trPr>
        <w:tc>
          <w:tcPr>
            <w:tcW w:w="2410" w:type="dxa"/>
            <w:vMerge w:val="restart"/>
            <w:tcBorders>
              <w:bottom w:val="nil"/>
            </w:tcBorders>
          </w:tcPr>
          <w:p w14:paraId="1BAC0BCD" w14:textId="77777777" w:rsidR="00C578EE" w:rsidRPr="003B6D48" w:rsidRDefault="00C578EE" w:rsidP="00C578EE">
            <w:pPr>
              <w:spacing w:after="0"/>
              <w:rPr>
                <w:rFonts w:ascii="Constantia" w:eastAsia="Calibri" w:hAnsi="Constantia" w:cs="Times New Roman"/>
                <w:sz w:val="21"/>
                <w:szCs w:val="21"/>
                <w:lang w:val="en-GB"/>
              </w:rPr>
            </w:pPr>
          </w:p>
          <w:p w14:paraId="324D6D46" w14:textId="77777777" w:rsidR="00C578EE" w:rsidRPr="003B6D48" w:rsidRDefault="00C578EE" w:rsidP="00C578EE">
            <w:pPr>
              <w:spacing w:after="0"/>
              <w:rPr>
                <w:rFonts w:ascii="Constantia" w:eastAsia="Calibri" w:hAnsi="Constantia" w:cs="Times New Roman"/>
                <w:sz w:val="21"/>
                <w:szCs w:val="21"/>
                <w:lang w:val="en-GB"/>
              </w:rPr>
            </w:pPr>
          </w:p>
          <w:p w14:paraId="5F65D9F0" w14:textId="77777777" w:rsidR="00C578EE" w:rsidRPr="003B6D48" w:rsidRDefault="00C578EE" w:rsidP="00C578EE">
            <w:pPr>
              <w:spacing w:after="0"/>
              <w:rPr>
                <w:rFonts w:ascii="Constantia" w:eastAsia="Calibri" w:hAnsi="Constantia" w:cs="Times New Roman"/>
                <w:sz w:val="21"/>
                <w:szCs w:val="21"/>
                <w:lang w:val="en-GB"/>
              </w:rPr>
            </w:pPr>
          </w:p>
          <w:p w14:paraId="6166BF47"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lastRenderedPageBreak/>
              <w:t>recalculated subscription price</w:t>
            </w:r>
          </w:p>
        </w:tc>
        <w:tc>
          <w:tcPr>
            <w:tcW w:w="708" w:type="dxa"/>
            <w:vMerge w:val="restart"/>
            <w:tcBorders>
              <w:bottom w:val="nil"/>
            </w:tcBorders>
          </w:tcPr>
          <w:p w14:paraId="3DC4E0A2" w14:textId="77777777" w:rsidR="00C578EE" w:rsidRPr="003B6D48" w:rsidRDefault="00C578EE" w:rsidP="00C578EE">
            <w:pPr>
              <w:spacing w:after="0"/>
              <w:rPr>
                <w:rFonts w:ascii="Constantia" w:eastAsia="Calibri" w:hAnsi="Constantia" w:cs="Times New Roman"/>
                <w:sz w:val="21"/>
                <w:szCs w:val="21"/>
                <w:lang w:val="en-GB"/>
              </w:rPr>
            </w:pPr>
          </w:p>
          <w:p w14:paraId="44EA7886" w14:textId="77777777" w:rsidR="00C578EE" w:rsidRPr="003B6D48" w:rsidRDefault="00C578EE" w:rsidP="00C578EE">
            <w:pPr>
              <w:spacing w:after="0"/>
              <w:jc w:val="center"/>
              <w:rPr>
                <w:rFonts w:ascii="Constantia" w:eastAsia="Calibri" w:hAnsi="Constantia" w:cs="Times New Roman"/>
                <w:sz w:val="21"/>
                <w:szCs w:val="21"/>
                <w:lang w:val="en-GB"/>
              </w:rPr>
            </w:pPr>
          </w:p>
          <w:p w14:paraId="721E8611" w14:textId="77777777" w:rsidR="00C578EE" w:rsidRPr="003B6D48" w:rsidRDefault="00C578EE" w:rsidP="00C578EE">
            <w:pPr>
              <w:spacing w:after="0"/>
              <w:jc w:val="center"/>
              <w:rPr>
                <w:rFonts w:ascii="Constantia" w:eastAsia="Calibri" w:hAnsi="Constantia" w:cs="Times New Roman"/>
                <w:sz w:val="21"/>
                <w:szCs w:val="21"/>
                <w:lang w:val="en-GB"/>
              </w:rPr>
            </w:pPr>
          </w:p>
          <w:p w14:paraId="180A2EC4"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59B0E0F4"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subscription price x the share’s average listed price during the application period established in the offer (the share’s average price)</w:t>
            </w:r>
          </w:p>
        </w:tc>
      </w:tr>
      <w:tr w:rsidR="00C81799" w:rsidRPr="004E41F1" w14:paraId="5D5F7D9D" w14:textId="77777777" w:rsidTr="00C578EE">
        <w:trPr>
          <w:cantSplit/>
        </w:trPr>
        <w:tc>
          <w:tcPr>
            <w:tcW w:w="2410" w:type="dxa"/>
            <w:vMerge/>
            <w:tcBorders>
              <w:top w:val="nil"/>
              <w:bottom w:val="nil"/>
            </w:tcBorders>
          </w:tcPr>
          <w:p w14:paraId="76BA9810"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6F6898C4"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1AB99A41"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 increased by the value of the right to participate in the offer (the purchase right value)</w:t>
            </w:r>
          </w:p>
        </w:tc>
      </w:tr>
    </w:tbl>
    <w:p w14:paraId="3362CD3F" w14:textId="77777777" w:rsidR="00C578EE" w:rsidRPr="003B6D48" w:rsidRDefault="00C578EE" w:rsidP="00C578EE">
      <w:pPr>
        <w:spacing w:after="0"/>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410"/>
        <w:gridCol w:w="708"/>
        <w:gridCol w:w="4536"/>
      </w:tblGrid>
      <w:tr w:rsidR="00C81799" w:rsidRPr="004E41F1" w14:paraId="4B6ECCA9" w14:textId="77777777" w:rsidTr="00C578EE">
        <w:trPr>
          <w:cantSplit/>
        </w:trPr>
        <w:tc>
          <w:tcPr>
            <w:tcW w:w="2410" w:type="dxa"/>
            <w:vMerge w:val="restart"/>
            <w:tcBorders>
              <w:bottom w:val="nil"/>
            </w:tcBorders>
          </w:tcPr>
          <w:p w14:paraId="7068C239" w14:textId="77777777" w:rsidR="00C578EE" w:rsidRPr="003B6D48" w:rsidRDefault="00C578EE" w:rsidP="00C578EE">
            <w:pPr>
              <w:spacing w:after="0"/>
              <w:rPr>
                <w:rFonts w:ascii="Constantia" w:eastAsia="Calibri" w:hAnsi="Constantia" w:cs="Times New Roman"/>
                <w:sz w:val="21"/>
                <w:szCs w:val="21"/>
                <w:lang w:val="en-GB"/>
              </w:rPr>
            </w:pPr>
          </w:p>
          <w:p w14:paraId="7DF00AD3"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number of shares to which each warrant provides an entitlement to subscribe</w:t>
            </w:r>
          </w:p>
        </w:tc>
        <w:tc>
          <w:tcPr>
            <w:tcW w:w="708" w:type="dxa"/>
            <w:vMerge w:val="restart"/>
            <w:tcBorders>
              <w:bottom w:val="nil"/>
            </w:tcBorders>
          </w:tcPr>
          <w:p w14:paraId="7CDC463F" w14:textId="77777777" w:rsidR="00C578EE" w:rsidRPr="003B6D48" w:rsidRDefault="00C578EE" w:rsidP="00C578EE">
            <w:pPr>
              <w:spacing w:after="0"/>
              <w:jc w:val="center"/>
              <w:rPr>
                <w:rFonts w:ascii="Constantia" w:eastAsia="Calibri" w:hAnsi="Constantia" w:cs="Times New Roman"/>
                <w:sz w:val="21"/>
                <w:szCs w:val="21"/>
                <w:lang w:val="en-GB"/>
              </w:rPr>
            </w:pPr>
          </w:p>
          <w:p w14:paraId="297FD9FF" w14:textId="77777777" w:rsidR="00C578EE" w:rsidRPr="003B6D48" w:rsidRDefault="00C578EE" w:rsidP="00C578EE">
            <w:pPr>
              <w:spacing w:after="0"/>
              <w:jc w:val="center"/>
              <w:rPr>
                <w:rFonts w:ascii="Constantia" w:eastAsia="Calibri" w:hAnsi="Constantia" w:cs="Times New Roman"/>
                <w:sz w:val="21"/>
                <w:szCs w:val="21"/>
                <w:lang w:val="en-GB"/>
              </w:rPr>
            </w:pPr>
          </w:p>
          <w:p w14:paraId="28DACFE6" w14:textId="77777777" w:rsidR="00C578EE" w:rsidRPr="003B6D48" w:rsidRDefault="00C578EE" w:rsidP="00C578EE">
            <w:pPr>
              <w:spacing w:after="0"/>
              <w:jc w:val="center"/>
              <w:rPr>
                <w:rFonts w:ascii="Constantia" w:eastAsia="Calibri" w:hAnsi="Constantia" w:cs="Times New Roman"/>
                <w:sz w:val="21"/>
                <w:szCs w:val="21"/>
                <w:lang w:val="en-GB"/>
              </w:rPr>
            </w:pPr>
          </w:p>
          <w:p w14:paraId="6D66703C"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0DECAB28"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number of shares to which each warrant provides an entitlement to subscribe x (the share’s average price increased by the purchase right value)</w:t>
            </w:r>
          </w:p>
        </w:tc>
      </w:tr>
      <w:tr w:rsidR="00C81799" w14:paraId="1CB6D3CD" w14:textId="77777777" w:rsidTr="00C578EE">
        <w:trPr>
          <w:cantSplit/>
        </w:trPr>
        <w:tc>
          <w:tcPr>
            <w:tcW w:w="2410" w:type="dxa"/>
            <w:vMerge/>
            <w:tcBorders>
              <w:top w:val="nil"/>
              <w:bottom w:val="nil"/>
            </w:tcBorders>
          </w:tcPr>
          <w:p w14:paraId="74AE52E5" w14:textId="77777777" w:rsidR="00C578EE" w:rsidRPr="003B6D48" w:rsidRDefault="00C578EE" w:rsidP="00C578EE">
            <w:pPr>
              <w:spacing w:after="0"/>
              <w:rPr>
                <w:rFonts w:ascii="Constantia" w:eastAsia="Calibri" w:hAnsi="Constantia" w:cs="Times New Roman"/>
                <w:sz w:val="21"/>
                <w:szCs w:val="21"/>
                <w:lang w:val="en-GB"/>
              </w:rPr>
            </w:pPr>
          </w:p>
        </w:tc>
        <w:tc>
          <w:tcPr>
            <w:tcW w:w="708" w:type="dxa"/>
            <w:vMerge/>
            <w:tcBorders>
              <w:top w:val="nil"/>
              <w:bottom w:val="nil"/>
            </w:tcBorders>
          </w:tcPr>
          <w:p w14:paraId="5EAF23C9"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7FFCB4F3"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w:t>
            </w:r>
          </w:p>
        </w:tc>
      </w:tr>
    </w:tbl>
    <w:p w14:paraId="2CE82D53" w14:textId="77777777" w:rsidR="00C578EE" w:rsidRPr="003B6D48" w:rsidRDefault="00C578EE" w:rsidP="00C578EE">
      <w:pPr>
        <w:ind w:left="720"/>
        <w:rPr>
          <w:rFonts w:ascii="Constantia" w:eastAsia="Calibri" w:hAnsi="Constantia" w:cs="Times New Roman"/>
          <w:sz w:val="21"/>
          <w:szCs w:val="21"/>
        </w:rPr>
      </w:pPr>
    </w:p>
    <w:p w14:paraId="621F986D" w14:textId="0372DDAF"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The share’s average price shall be calculated in accordance with section</w:t>
      </w:r>
      <w:r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above.</w:t>
      </w:r>
    </w:p>
    <w:p w14:paraId="71276E2D"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In the event the shareholders have received purchase rights and trading has taken place in such rights, the value of the right to participate in the offer shall be deemed to correspond to the purchase right value. The purchase right value shall herewith be deemed to correspond to the average of the calculated mean values, for each trading day during the application period, of the highest and lowest transaction prices listed during the day in accordance with the official quotations on the marketplace. In the event no transaction price is quoted, the bid price which is quoted as the closing price shall instead be included in the calculation. Days on which neither a transaction price nor a bid price is quoted shall not be included in the calculation.</w:t>
      </w:r>
    </w:p>
    <w:p w14:paraId="10BAB9B9" w14:textId="4842FFA0"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In the event shareholders have not obtained purchase rights or such trading referred to in the preceding paragraph has not occurred for another reason, recalculation of the subscription price and the number of shares shall be made applying the principles set out in this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_Ref374352332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7.5</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as far as possible, whereupon the following shall apply. Where listing of the securities or rights offered to the shareholders occur, the value of the right to participate in the offer shall be deemed to correspond to the average of the calculated mean price of the highest and lowest transaction price for the share for each trading day during the 25 trading-day period commencing on the first day of listing for these securities or rights at the marketplace, reduced by the consideration paid for these in conjunction with the offer where applicable. In the absence of quoted transaction </w:t>
      </w:r>
      <w:proofErr w:type="gramStart"/>
      <w:r w:rsidRPr="003B6D48">
        <w:rPr>
          <w:rFonts w:ascii="Constantia" w:eastAsia="Calibri" w:hAnsi="Constantia" w:cs="Times New Roman"/>
          <w:sz w:val="21"/>
          <w:szCs w:val="21"/>
          <w:lang w:val="en-GB"/>
        </w:rPr>
        <w:t>price</w:t>
      </w:r>
      <w:proofErr w:type="gramEnd"/>
      <w:r w:rsidRPr="003B6D48">
        <w:rPr>
          <w:rFonts w:ascii="Constantia" w:eastAsia="Calibri" w:hAnsi="Constantia" w:cs="Times New Roman"/>
          <w:sz w:val="21"/>
          <w:szCs w:val="21"/>
          <w:lang w:val="en-GB"/>
        </w:rPr>
        <w:t xml:space="preserve"> the bid price which is quoted as the closing price shall instead be included in the calculations. Days on which neither a transaction price nor a bid price is quoted shall not be included in the calculation. For recalculation of the subscription price and the number of shares in accordance with this paragraph, said period of 25 trading days shall be deemed to correspond the notice period established in the offer under this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_Ref374352332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7.5</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w:t>
      </w:r>
    </w:p>
    <w:p w14:paraId="6673ADF8"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If listing of the securities or rights offered to the shareholders does not occur, the value of the right to participate in the offer shall as far as possible be determined </w:t>
      </w:r>
      <w:proofErr w:type="gramStart"/>
      <w:r w:rsidRPr="003B6D48">
        <w:rPr>
          <w:rFonts w:ascii="Constantia" w:eastAsia="Calibri" w:hAnsi="Constantia" w:cs="Times New Roman"/>
          <w:sz w:val="21"/>
          <w:szCs w:val="21"/>
          <w:lang w:val="en-GB"/>
        </w:rPr>
        <w:t>taking into account</w:t>
      </w:r>
      <w:proofErr w:type="gramEnd"/>
      <w:r w:rsidRPr="003B6D48">
        <w:rPr>
          <w:rFonts w:ascii="Constantia" w:eastAsia="Calibri" w:hAnsi="Constantia" w:cs="Times New Roman"/>
          <w:sz w:val="21"/>
          <w:szCs w:val="21"/>
          <w:lang w:val="en-GB"/>
        </w:rPr>
        <w:t xml:space="preserve"> the change in market value for the company’s shares which may be deemed to have occurred as a result of the offer.</w:t>
      </w:r>
    </w:p>
    <w:p w14:paraId="7EE5F308"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recalculated subscription price and number of shares in accordance with the above shall be determined by the company as soon as possible after the value of the right to participate in the offer have been determined and shall be applied for subscriptions effected after such determination has occurred.</w:t>
      </w:r>
    </w:p>
    <w:p w14:paraId="56A98858" w14:textId="60B3AB11"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In the event of subscription which is </w:t>
      </w:r>
      <w:proofErr w:type="gramStart"/>
      <w:r w:rsidRPr="003B6D48">
        <w:rPr>
          <w:rFonts w:ascii="Constantia" w:eastAsia="Calibri" w:hAnsi="Constantia" w:cs="Times New Roman"/>
          <w:sz w:val="21"/>
          <w:szCs w:val="21"/>
          <w:lang w:val="en-GB"/>
        </w:rPr>
        <w:t>effected</w:t>
      </w:r>
      <w:proofErr w:type="gramEnd"/>
      <w:r w:rsidRPr="003B6D48">
        <w:rPr>
          <w:rFonts w:ascii="Constantia" w:eastAsia="Calibri" w:hAnsi="Constantia" w:cs="Times New Roman"/>
          <w:sz w:val="21"/>
          <w:szCs w:val="21"/>
          <w:lang w:val="en-GB"/>
        </w:rPr>
        <w:t xml:space="preserve"> during the period of time until the recalculated subscription price and recalculated number of shares have been determined, the provisions in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last paragraph above shall apply.</w:t>
      </w:r>
    </w:p>
    <w:p w14:paraId="40E07D59" w14:textId="77777777" w:rsidR="00C578EE" w:rsidRPr="003B6D48" w:rsidRDefault="009A55EB" w:rsidP="00C578EE">
      <w:pPr>
        <w:numPr>
          <w:ilvl w:val="1"/>
          <w:numId w:val="21"/>
        </w:numPr>
        <w:rPr>
          <w:rFonts w:ascii="Constantia" w:eastAsia="Times New Roman" w:hAnsi="Constantia" w:cs="Times New Roman"/>
          <w:bCs/>
          <w:sz w:val="21"/>
          <w:szCs w:val="21"/>
          <w:lang w:val="en-US"/>
        </w:rPr>
      </w:pPr>
      <w:bookmarkStart w:id="16" w:name="_Ref374353217"/>
      <w:r w:rsidRPr="003B6D48">
        <w:rPr>
          <w:rFonts w:ascii="Constantia" w:hAnsi="Constantia"/>
          <w:sz w:val="21"/>
          <w:szCs w:val="21"/>
          <w:lang w:val="en-GB"/>
        </w:rPr>
        <w:lastRenderedPageBreak/>
        <w:t xml:space="preserve">Where the company issues </w:t>
      </w:r>
      <w:r w:rsidRPr="003B6D48">
        <w:rPr>
          <w:rFonts w:ascii="Constantia" w:hAnsi="Constantia"/>
          <w:b/>
          <w:sz w:val="21"/>
          <w:szCs w:val="21"/>
          <w:lang w:val="en-GB"/>
        </w:rPr>
        <w:t>warrants</w:t>
      </w:r>
      <w:r w:rsidRPr="003B6D48">
        <w:rPr>
          <w:rFonts w:ascii="Constantia" w:hAnsi="Constantia"/>
          <w:sz w:val="21"/>
          <w:szCs w:val="21"/>
          <w:lang w:val="en-GB"/>
        </w:rPr>
        <w:t xml:space="preserve"> or </w:t>
      </w:r>
      <w:r w:rsidRPr="003B6D48">
        <w:rPr>
          <w:rFonts w:ascii="Constantia" w:hAnsi="Constantia"/>
          <w:b/>
          <w:sz w:val="21"/>
          <w:szCs w:val="21"/>
          <w:lang w:val="en-GB"/>
        </w:rPr>
        <w:t>convertible debentures</w:t>
      </w:r>
      <w:r w:rsidRPr="003B6D48">
        <w:rPr>
          <w:rFonts w:ascii="Constantia" w:hAnsi="Constantia"/>
          <w:sz w:val="21"/>
          <w:szCs w:val="21"/>
          <w:lang w:val="en-GB"/>
        </w:rPr>
        <w:t xml:space="preserve"> with pre-emption rights for the shareholders, the company is entitled to give all holders of warrants the same preferential rights which are conferred to the shareholders in accordance with the resolution. Thereby each holder of warrants, irrespective of subscription not being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shall be deemed owners of the number of shares which the holder of warrants would have obtained, had subscription been effected in accordance with the subscription price which applied at the time of the resolution on the issue.</w:t>
      </w:r>
    </w:p>
    <w:bookmarkEnd w:id="16"/>
    <w:p w14:paraId="7F358FF4" w14:textId="63D13151"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In the event the company resolves to extend an offer referred to in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_Ref374352332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7.5</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to the shareholders, what is stated in the preceding paragraph shall apply mutatis mutandis, provided however that the number of shares the holder of warrants shall be deemed owner of in such case shall be determined in accordance with the subscription price which applied at the time of the resolution on the offer.</w:t>
      </w:r>
    </w:p>
    <w:p w14:paraId="44E06E90" w14:textId="234495A9"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In the event the company resolves to give the holders of warrants preferential rights in accordance with the provisions of this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_Ref374353217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7.6</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recalculation of the subscription price and the number of shares each warrant entitles to subscribe in accordance with sections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_Ref374352239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7.4</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or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_Ref374352332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7.5</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shall not take place.</w:t>
      </w:r>
    </w:p>
    <w:p w14:paraId="5A42462E" w14:textId="77777777" w:rsidR="00C578EE" w:rsidRPr="003B6D48" w:rsidRDefault="009A55EB" w:rsidP="00C578EE">
      <w:pPr>
        <w:numPr>
          <w:ilvl w:val="1"/>
          <w:numId w:val="21"/>
        </w:numPr>
        <w:rPr>
          <w:rFonts w:ascii="Constantia" w:eastAsia="Times New Roman" w:hAnsi="Constantia" w:cs="Times New Roman"/>
          <w:bCs/>
          <w:sz w:val="21"/>
          <w:szCs w:val="21"/>
          <w:lang w:val="en-GB"/>
        </w:rPr>
      </w:pPr>
      <w:bookmarkStart w:id="17" w:name="_Ref374353351"/>
      <w:r w:rsidRPr="003B6D48">
        <w:rPr>
          <w:rFonts w:ascii="Constantia" w:eastAsia="Times New Roman" w:hAnsi="Constantia" w:cs="Times New Roman"/>
          <w:bCs/>
          <w:sz w:val="21"/>
          <w:szCs w:val="21"/>
          <w:lang w:val="en-GB"/>
        </w:rPr>
        <w:t xml:space="preserve">In </w:t>
      </w:r>
      <w:r w:rsidRPr="003B6D48">
        <w:rPr>
          <w:rFonts w:ascii="Constantia" w:hAnsi="Constantia"/>
          <w:sz w:val="21"/>
          <w:szCs w:val="21"/>
          <w:lang w:val="en-GB"/>
        </w:rPr>
        <w:t xml:space="preserve">the event of </w:t>
      </w:r>
      <w:r w:rsidRPr="003B6D48">
        <w:rPr>
          <w:rFonts w:ascii="Constantia" w:hAnsi="Constantia"/>
          <w:b/>
          <w:sz w:val="21"/>
          <w:szCs w:val="21"/>
          <w:lang w:val="en-GB"/>
        </w:rPr>
        <w:t>a reduction in the share capital</w:t>
      </w:r>
      <w:r w:rsidRPr="003B6D48">
        <w:rPr>
          <w:rFonts w:ascii="Constantia" w:hAnsi="Constantia"/>
          <w:sz w:val="21"/>
          <w:szCs w:val="21"/>
          <w:lang w:val="en-GB"/>
        </w:rPr>
        <w:t xml:space="preserve"> with repayment to the shareholders, where such reduction is mandatory, a recalculated subscription price and a recalculated number of shares provided by each warrant shall be applied.</w:t>
      </w:r>
    </w:p>
    <w:bookmarkEnd w:id="17"/>
    <w:p w14:paraId="3B8B4BCC"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recalculation shall be carried out by the company in accordance with the following formulae:</w:t>
      </w:r>
    </w:p>
    <w:tbl>
      <w:tblPr>
        <w:tblW w:w="8289"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5171"/>
      </w:tblGrid>
      <w:tr w:rsidR="00C81799" w:rsidRPr="004E41F1" w14:paraId="0E428F6C" w14:textId="77777777" w:rsidTr="00C578EE">
        <w:trPr>
          <w:cantSplit/>
        </w:trPr>
        <w:tc>
          <w:tcPr>
            <w:tcW w:w="2268" w:type="dxa"/>
            <w:vMerge w:val="restart"/>
            <w:tcBorders>
              <w:bottom w:val="nil"/>
            </w:tcBorders>
          </w:tcPr>
          <w:p w14:paraId="69E798F7" w14:textId="77777777" w:rsidR="00C578EE" w:rsidRPr="003B6D48" w:rsidRDefault="00C578EE" w:rsidP="00C578EE">
            <w:pPr>
              <w:spacing w:after="0"/>
              <w:rPr>
                <w:rFonts w:ascii="Constantia" w:eastAsia="Calibri" w:hAnsi="Constantia" w:cs="Times New Roman"/>
                <w:sz w:val="21"/>
                <w:szCs w:val="21"/>
                <w:lang w:val="en-GB"/>
              </w:rPr>
            </w:pPr>
          </w:p>
          <w:p w14:paraId="74E41CFC" w14:textId="77777777" w:rsidR="00C578EE" w:rsidRPr="003B6D48" w:rsidRDefault="00C578EE" w:rsidP="00C578EE">
            <w:pPr>
              <w:spacing w:after="0"/>
              <w:rPr>
                <w:rFonts w:ascii="Constantia" w:eastAsia="Calibri" w:hAnsi="Constantia" w:cs="Times New Roman"/>
                <w:sz w:val="21"/>
                <w:szCs w:val="21"/>
                <w:lang w:val="en-GB"/>
              </w:rPr>
            </w:pPr>
          </w:p>
          <w:p w14:paraId="6E38E6E8" w14:textId="77777777" w:rsidR="00C578EE" w:rsidRPr="003B6D48" w:rsidRDefault="00C578EE" w:rsidP="00C578EE">
            <w:pPr>
              <w:spacing w:after="0"/>
              <w:rPr>
                <w:rFonts w:ascii="Constantia" w:eastAsia="Calibri" w:hAnsi="Constantia" w:cs="Times New Roman"/>
                <w:sz w:val="21"/>
                <w:szCs w:val="21"/>
                <w:lang w:val="en-GB"/>
              </w:rPr>
            </w:pPr>
          </w:p>
          <w:p w14:paraId="17FF39C3" w14:textId="77777777" w:rsidR="00C578EE" w:rsidRPr="003B6D48" w:rsidRDefault="00C578EE" w:rsidP="00C578EE">
            <w:pPr>
              <w:spacing w:after="0"/>
              <w:rPr>
                <w:rFonts w:ascii="Constantia" w:eastAsia="Calibri" w:hAnsi="Constantia" w:cs="Times New Roman"/>
                <w:sz w:val="21"/>
                <w:szCs w:val="21"/>
                <w:lang w:val="en-GB"/>
              </w:rPr>
            </w:pPr>
          </w:p>
          <w:p w14:paraId="35579B79"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subscription price</w:t>
            </w:r>
          </w:p>
        </w:tc>
        <w:tc>
          <w:tcPr>
            <w:tcW w:w="850" w:type="dxa"/>
            <w:vMerge w:val="restart"/>
            <w:tcBorders>
              <w:bottom w:val="nil"/>
            </w:tcBorders>
          </w:tcPr>
          <w:p w14:paraId="7CF43C2F" w14:textId="77777777" w:rsidR="00C578EE" w:rsidRPr="003B6D48" w:rsidRDefault="00C578EE" w:rsidP="00C578EE">
            <w:pPr>
              <w:spacing w:after="0"/>
              <w:rPr>
                <w:rFonts w:ascii="Constantia" w:eastAsia="Calibri" w:hAnsi="Constantia" w:cs="Times New Roman"/>
                <w:sz w:val="21"/>
                <w:szCs w:val="21"/>
                <w:lang w:val="en-GB"/>
              </w:rPr>
            </w:pPr>
          </w:p>
          <w:p w14:paraId="40B5BF00" w14:textId="77777777" w:rsidR="00C578EE" w:rsidRPr="003B6D48" w:rsidRDefault="00C578EE" w:rsidP="00C578EE">
            <w:pPr>
              <w:spacing w:after="0"/>
              <w:rPr>
                <w:rFonts w:ascii="Constantia" w:eastAsia="Calibri" w:hAnsi="Constantia" w:cs="Times New Roman"/>
                <w:sz w:val="21"/>
                <w:szCs w:val="21"/>
                <w:lang w:val="en-GB"/>
              </w:rPr>
            </w:pPr>
          </w:p>
          <w:p w14:paraId="176D3A72" w14:textId="77777777" w:rsidR="00C578EE" w:rsidRPr="003B6D48" w:rsidRDefault="00C578EE" w:rsidP="00C578EE">
            <w:pPr>
              <w:spacing w:after="0"/>
              <w:jc w:val="center"/>
              <w:rPr>
                <w:rFonts w:ascii="Constantia" w:eastAsia="Calibri" w:hAnsi="Constantia" w:cs="Times New Roman"/>
                <w:sz w:val="21"/>
                <w:szCs w:val="21"/>
                <w:lang w:val="en-GB"/>
              </w:rPr>
            </w:pPr>
          </w:p>
          <w:p w14:paraId="5467D9EA" w14:textId="77777777" w:rsidR="00C578EE" w:rsidRPr="003B6D48" w:rsidRDefault="00C578EE" w:rsidP="00C578EE">
            <w:pPr>
              <w:spacing w:after="0"/>
              <w:jc w:val="center"/>
              <w:rPr>
                <w:rFonts w:ascii="Constantia" w:eastAsia="Calibri" w:hAnsi="Constantia" w:cs="Times New Roman"/>
                <w:sz w:val="21"/>
                <w:szCs w:val="21"/>
                <w:lang w:val="en-GB"/>
              </w:rPr>
            </w:pPr>
          </w:p>
          <w:p w14:paraId="2F1FD02F"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5171" w:type="dxa"/>
          </w:tcPr>
          <w:p w14:paraId="72825D4F"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subscription price x the share’s average listed price during a period of 25 trading days calculated commencing on the day on which the shares were listed without the right to participate in the repayment (the share’s average price)</w:t>
            </w:r>
          </w:p>
        </w:tc>
      </w:tr>
      <w:tr w:rsidR="00C81799" w:rsidRPr="004E41F1" w14:paraId="7C82064F" w14:textId="77777777" w:rsidTr="00C578EE">
        <w:trPr>
          <w:cantSplit/>
        </w:trPr>
        <w:tc>
          <w:tcPr>
            <w:tcW w:w="2268" w:type="dxa"/>
            <w:vMerge/>
            <w:tcBorders>
              <w:top w:val="nil"/>
              <w:bottom w:val="nil"/>
            </w:tcBorders>
          </w:tcPr>
          <w:p w14:paraId="2A84CF1E" w14:textId="77777777" w:rsidR="00C578EE" w:rsidRPr="003B6D48" w:rsidRDefault="00C578EE" w:rsidP="00C578EE">
            <w:pPr>
              <w:spacing w:after="0"/>
              <w:rPr>
                <w:rFonts w:ascii="Constantia" w:eastAsia="Calibri" w:hAnsi="Constantia" w:cs="Times New Roman"/>
                <w:sz w:val="21"/>
                <w:szCs w:val="21"/>
                <w:lang w:val="en-GB"/>
              </w:rPr>
            </w:pPr>
          </w:p>
        </w:tc>
        <w:tc>
          <w:tcPr>
            <w:tcW w:w="850" w:type="dxa"/>
            <w:vMerge/>
            <w:tcBorders>
              <w:top w:val="nil"/>
              <w:bottom w:val="nil"/>
            </w:tcBorders>
          </w:tcPr>
          <w:p w14:paraId="440A842B" w14:textId="77777777" w:rsidR="00C578EE" w:rsidRPr="003B6D48" w:rsidRDefault="00C578EE" w:rsidP="00C578EE">
            <w:pPr>
              <w:spacing w:after="0"/>
              <w:rPr>
                <w:rFonts w:ascii="Constantia" w:eastAsia="Calibri" w:hAnsi="Constantia" w:cs="Times New Roman"/>
                <w:sz w:val="21"/>
                <w:szCs w:val="21"/>
                <w:lang w:val="en-GB"/>
              </w:rPr>
            </w:pPr>
          </w:p>
        </w:tc>
        <w:tc>
          <w:tcPr>
            <w:tcW w:w="5171" w:type="dxa"/>
          </w:tcPr>
          <w:p w14:paraId="627D5064"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 increased by the amount repaid per share</w:t>
            </w:r>
          </w:p>
        </w:tc>
      </w:tr>
    </w:tbl>
    <w:p w14:paraId="2338F9D0" w14:textId="77777777" w:rsidR="00C578EE" w:rsidRPr="003B6D48" w:rsidRDefault="00C578EE" w:rsidP="00C578EE">
      <w:pPr>
        <w:spacing w:after="200" w:line="276" w:lineRule="auto"/>
        <w:jc w:val="left"/>
        <w:rPr>
          <w:rFonts w:ascii="Constantia" w:eastAsia="Calibri" w:hAnsi="Constantia" w:cs="Times New Roman"/>
          <w:sz w:val="21"/>
          <w:szCs w:val="21"/>
          <w:lang w:val="en-GB"/>
        </w:rPr>
      </w:pPr>
    </w:p>
    <w:tbl>
      <w:tblPr>
        <w:tblW w:w="8289"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5171"/>
      </w:tblGrid>
      <w:tr w:rsidR="00C81799" w:rsidRPr="004E41F1" w14:paraId="3501580E" w14:textId="77777777" w:rsidTr="00C578EE">
        <w:trPr>
          <w:cantSplit/>
        </w:trPr>
        <w:tc>
          <w:tcPr>
            <w:tcW w:w="2268" w:type="dxa"/>
            <w:vMerge w:val="restart"/>
            <w:tcBorders>
              <w:bottom w:val="nil"/>
            </w:tcBorders>
          </w:tcPr>
          <w:p w14:paraId="5BD476CE" w14:textId="77777777" w:rsidR="00C578EE" w:rsidRPr="003B6D48" w:rsidRDefault="00C578EE" w:rsidP="00C578EE">
            <w:pPr>
              <w:spacing w:after="0"/>
              <w:rPr>
                <w:rFonts w:ascii="Constantia" w:eastAsia="Calibri" w:hAnsi="Constantia" w:cs="Times New Roman"/>
                <w:sz w:val="21"/>
                <w:szCs w:val="21"/>
                <w:lang w:val="en-GB"/>
              </w:rPr>
            </w:pPr>
          </w:p>
          <w:p w14:paraId="00DE994D"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recalculated number of shares to which each warrant provides an entitlement to subscribe</w:t>
            </w:r>
          </w:p>
        </w:tc>
        <w:tc>
          <w:tcPr>
            <w:tcW w:w="850" w:type="dxa"/>
            <w:vMerge w:val="restart"/>
            <w:tcBorders>
              <w:bottom w:val="nil"/>
            </w:tcBorders>
          </w:tcPr>
          <w:p w14:paraId="76ABD7FD" w14:textId="77777777" w:rsidR="00C578EE" w:rsidRPr="003B6D48" w:rsidRDefault="00C578EE" w:rsidP="00C578EE">
            <w:pPr>
              <w:spacing w:after="0"/>
              <w:jc w:val="center"/>
              <w:rPr>
                <w:rFonts w:ascii="Constantia" w:eastAsia="Calibri" w:hAnsi="Constantia" w:cs="Times New Roman"/>
                <w:sz w:val="21"/>
                <w:szCs w:val="21"/>
                <w:lang w:val="en-GB"/>
              </w:rPr>
            </w:pPr>
          </w:p>
          <w:p w14:paraId="398A0DE2" w14:textId="77777777" w:rsidR="00C578EE" w:rsidRPr="003B6D48" w:rsidRDefault="00C578EE" w:rsidP="00C578EE">
            <w:pPr>
              <w:spacing w:after="0"/>
              <w:jc w:val="center"/>
              <w:rPr>
                <w:rFonts w:ascii="Constantia" w:eastAsia="Calibri" w:hAnsi="Constantia" w:cs="Times New Roman"/>
                <w:sz w:val="21"/>
                <w:szCs w:val="21"/>
                <w:lang w:val="en-GB"/>
              </w:rPr>
            </w:pPr>
          </w:p>
          <w:p w14:paraId="0043579E"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5171" w:type="dxa"/>
          </w:tcPr>
          <w:p w14:paraId="32850AF0"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previous number of shares to which each warrant provides an entitlement to subscribe x (the share’s average price increased by the amount repaid per share)</w:t>
            </w:r>
          </w:p>
        </w:tc>
      </w:tr>
      <w:tr w:rsidR="00C81799" w14:paraId="2F385282" w14:textId="77777777" w:rsidTr="00C578EE">
        <w:trPr>
          <w:cantSplit/>
        </w:trPr>
        <w:tc>
          <w:tcPr>
            <w:tcW w:w="2268" w:type="dxa"/>
            <w:vMerge/>
            <w:tcBorders>
              <w:top w:val="nil"/>
              <w:bottom w:val="nil"/>
            </w:tcBorders>
          </w:tcPr>
          <w:p w14:paraId="0F9BE229" w14:textId="77777777" w:rsidR="00C578EE" w:rsidRPr="003B6D48" w:rsidRDefault="00C578EE" w:rsidP="00C578EE">
            <w:pPr>
              <w:spacing w:after="0"/>
              <w:rPr>
                <w:rFonts w:ascii="Constantia" w:eastAsia="Calibri" w:hAnsi="Constantia" w:cs="Times New Roman"/>
                <w:sz w:val="21"/>
                <w:szCs w:val="21"/>
                <w:lang w:val="en-GB"/>
              </w:rPr>
            </w:pPr>
          </w:p>
        </w:tc>
        <w:tc>
          <w:tcPr>
            <w:tcW w:w="850" w:type="dxa"/>
            <w:vMerge/>
            <w:tcBorders>
              <w:top w:val="nil"/>
              <w:bottom w:val="nil"/>
            </w:tcBorders>
          </w:tcPr>
          <w:p w14:paraId="6A4006E6" w14:textId="77777777" w:rsidR="00C578EE" w:rsidRPr="003B6D48" w:rsidRDefault="00C578EE" w:rsidP="00C578EE">
            <w:pPr>
              <w:spacing w:after="0"/>
              <w:rPr>
                <w:rFonts w:ascii="Constantia" w:eastAsia="Calibri" w:hAnsi="Constantia" w:cs="Times New Roman"/>
                <w:sz w:val="21"/>
                <w:szCs w:val="21"/>
                <w:lang w:val="en-GB"/>
              </w:rPr>
            </w:pPr>
          </w:p>
        </w:tc>
        <w:tc>
          <w:tcPr>
            <w:tcW w:w="5171" w:type="dxa"/>
          </w:tcPr>
          <w:p w14:paraId="355594C0"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share’s average price</w:t>
            </w:r>
          </w:p>
        </w:tc>
      </w:tr>
    </w:tbl>
    <w:p w14:paraId="1EC20704" w14:textId="77777777" w:rsidR="00C578EE" w:rsidRPr="003B6D48" w:rsidRDefault="00C578EE" w:rsidP="00C578EE">
      <w:pPr>
        <w:ind w:left="720"/>
        <w:rPr>
          <w:rFonts w:ascii="Constantia" w:eastAsia="Calibri" w:hAnsi="Constantia" w:cs="Times New Roman"/>
          <w:sz w:val="21"/>
          <w:szCs w:val="21"/>
          <w:lang w:val="en-GB"/>
        </w:rPr>
      </w:pPr>
    </w:p>
    <w:p w14:paraId="1493EA5D" w14:textId="1CAAD171" w:rsidR="00C578EE" w:rsidRPr="003B6D48" w:rsidRDefault="009A55EB" w:rsidP="00C578EE">
      <w:pPr>
        <w:ind w:left="720"/>
        <w:rPr>
          <w:rFonts w:ascii="Constantia" w:eastAsia="Calibri" w:hAnsi="Constantia" w:cs="Times New Roman"/>
          <w:sz w:val="21"/>
          <w:szCs w:val="21"/>
          <w:lang w:val="en-GB"/>
        </w:rPr>
      </w:pPr>
      <w:r w:rsidRPr="003B6D48">
        <w:rPr>
          <w:rFonts w:ascii="Constantia" w:hAnsi="Constantia"/>
          <w:sz w:val="21"/>
          <w:szCs w:val="21"/>
          <w:lang w:val="en-GB"/>
        </w:rPr>
        <w:t xml:space="preserve">The share’s average price shall be calculated in accordance with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w:instrText>
      </w:r>
      <w:r w:rsidR="003B6D48" w:rsidRPr="003B6D48">
        <w:rPr>
          <w:rFonts w:ascii="Constantia" w:eastAsia="Calibri" w:hAnsi="Constantia" w:cs="Times New Roman"/>
          <w:sz w:val="21"/>
          <w:szCs w:val="21"/>
          <w:lang w:val="en-GB"/>
        </w:rPr>
        <w:instrText xml:space="preserve">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above.</w:t>
      </w:r>
    </w:p>
    <w:p w14:paraId="0992B752" w14:textId="77777777" w:rsidR="00C578EE" w:rsidRPr="003B6D48" w:rsidRDefault="009A55EB" w:rsidP="00C578EE">
      <w:pPr>
        <w:ind w:left="720"/>
        <w:rPr>
          <w:rFonts w:ascii="Constantia" w:hAnsi="Constantia"/>
          <w:sz w:val="21"/>
          <w:szCs w:val="21"/>
          <w:lang w:val="en-GB"/>
        </w:rPr>
      </w:pPr>
      <w:r w:rsidRPr="003B6D48">
        <w:rPr>
          <w:rFonts w:ascii="Constantia" w:hAnsi="Constantia"/>
          <w:sz w:val="21"/>
          <w:szCs w:val="21"/>
          <w:lang w:val="en-GB"/>
        </w:rPr>
        <w:t>In making a recalculation pursuant to the above where the reduction takes place through redemption of shares, instead of using the actual amount which is repaid per share a calculated repayment amount shall be used as follows:</w:t>
      </w:r>
    </w:p>
    <w:p w14:paraId="5C8F8DD8" w14:textId="77777777" w:rsidR="00C578EE" w:rsidRPr="003B6D48" w:rsidRDefault="00C578EE" w:rsidP="00C578EE">
      <w:pPr>
        <w:ind w:left="720"/>
        <w:rPr>
          <w:rFonts w:ascii="Constantia" w:eastAsia="Calibri" w:hAnsi="Constantia" w:cs="Times New Roman"/>
          <w:sz w:val="21"/>
          <w:szCs w:val="21"/>
          <w:lang w:val="en-GB"/>
        </w:rPr>
      </w:pPr>
    </w:p>
    <w:tbl>
      <w:tblPr>
        <w:tblW w:w="7654" w:type="dxa"/>
        <w:tblInd w:w="92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268"/>
        <w:gridCol w:w="850"/>
        <w:gridCol w:w="4536"/>
      </w:tblGrid>
      <w:tr w:rsidR="00C81799" w:rsidRPr="004E41F1" w14:paraId="3B482C3E" w14:textId="77777777" w:rsidTr="00C578EE">
        <w:trPr>
          <w:cantSplit/>
        </w:trPr>
        <w:tc>
          <w:tcPr>
            <w:tcW w:w="2268" w:type="dxa"/>
            <w:vMerge w:val="restart"/>
            <w:tcBorders>
              <w:bottom w:val="nil"/>
            </w:tcBorders>
          </w:tcPr>
          <w:p w14:paraId="0A417522" w14:textId="77777777" w:rsidR="00C578EE" w:rsidRPr="003B6D48" w:rsidRDefault="00C578EE" w:rsidP="00C578EE">
            <w:pPr>
              <w:spacing w:after="0"/>
              <w:rPr>
                <w:rFonts w:ascii="Constantia" w:eastAsia="Calibri" w:hAnsi="Constantia" w:cs="Times New Roman"/>
                <w:sz w:val="21"/>
                <w:szCs w:val="21"/>
                <w:lang w:val="en-GB"/>
              </w:rPr>
            </w:pPr>
          </w:p>
          <w:p w14:paraId="0C374EC7" w14:textId="77777777" w:rsidR="00C578EE" w:rsidRPr="003B6D48" w:rsidRDefault="00C578EE" w:rsidP="00C578EE">
            <w:pPr>
              <w:spacing w:after="0"/>
              <w:rPr>
                <w:rFonts w:ascii="Constantia" w:eastAsia="Calibri" w:hAnsi="Constantia" w:cs="Times New Roman"/>
                <w:sz w:val="21"/>
                <w:szCs w:val="21"/>
                <w:lang w:val="en-GB"/>
              </w:rPr>
            </w:pPr>
          </w:p>
          <w:p w14:paraId="40D5EF53" w14:textId="77777777" w:rsidR="00C578EE" w:rsidRPr="003B6D48" w:rsidRDefault="00C578EE" w:rsidP="00C578EE">
            <w:pPr>
              <w:spacing w:after="0"/>
              <w:rPr>
                <w:rFonts w:ascii="Constantia" w:eastAsia="Calibri" w:hAnsi="Constantia" w:cs="Times New Roman"/>
                <w:sz w:val="21"/>
                <w:szCs w:val="21"/>
                <w:lang w:val="en-GB"/>
              </w:rPr>
            </w:pPr>
          </w:p>
          <w:p w14:paraId="6A4B247B" w14:textId="77777777" w:rsidR="00C578EE" w:rsidRPr="003B6D48" w:rsidRDefault="00C578EE" w:rsidP="00C578EE">
            <w:pPr>
              <w:spacing w:after="0"/>
              <w:rPr>
                <w:rFonts w:ascii="Constantia" w:eastAsia="Calibri" w:hAnsi="Constantia" w:cs="Times New Roman"/>
                <w:sz w:val="21"/>
                <w:szCs w:val="21"/>
                <w:lang w:val="en-GB"/>
              </w:rPr>
            </w:pPr>
          </w:p>
          <w:p w14:paraId="5FC38103" w14:textId="77777777" w:rsidR="00C578EE" w:rsidRPr="003B6D48" w:rsidRDefault="009A55EB" w:rsidP="00C578EE">
            <w:pPr>
              <w:spacing w:after="0"/>
              <w:rPr>
                <w:rFonts w:ascii="Constantia" w:eastAsia="Calibri" w:hAnsi="Constantia" w:cs="Times New Roman"/>
                <w:sz w:val="21"/>
                <w:szCs w:val="21"/>
                <w:lang w:val="en-GB"/>
              </w:rPr>
            </w:pPr>
            <w:r w:rsidRPr="003B6D48">
              <w:rPr>
                <w:rFonts w:ascii="Constantia" w:hAnsi="Constantia"/>
                <w:sz w:val="21"/>
                <w:szCs w:val="21"/>
                <w:lang w:val="en-GB"/>
              </w:rPr>
              <w:t>calculated repayment amount per share</w:t>
            </w:r>
          </w:p>
        </w:tc>
        <w:tc>
          <w:tcPr>
            <w:tcW w:w="850" w:type="dxa"/>
            <w:vMerge w:val="restart"/>
            <w:tcBorders>
              <w:bottom w:val="nil"/>
            </w:tcBorders>
          </w:tcPr>
          <w:p w14:paraId="6A39335E" w14:textId="77777777" w:rsidR="00C578EE" w:rsidRPr="003B6D48" w:rsidRDefault="00C578EE" w:rsidP="00C578EE">
            <w:pPr>
              <w:spacing w:after="0"/>
              <w:rPr>
                <w:rFonts w:ascii="Constantia" w:eastAsia="Calibri" w:hAnsi="Constantia" w:cs="Times New Roman"/>
                <w:sz w:val="21"/>
                <w:szCs w:val="21"/>
                <w:lang w:val="en-GB"/>
              </w:rPr>
            </w:pPr>
          </w:p>
          <w:p w14:paraId="2F7490D7" w14:textId="77777777" w:rsidR="00C578EE" w:rsidRPr="003B6D48" w:rsidRDefault="00C578EE" w:rsidP="00C578EE">
            <w:pPr>
              <w:spacing w:after="0"/>
              <w:rPr>
                <w:rFonts w:ascii="Constantia" w:eastAsia="Calibri" w:hAnsi="Constantia" w:cs="Times New Roman"/>
                <w:sz w:val="21"/>
                <w:szCs w:val="21"/>
                <w:lang w:val="en-GB"/>
              </w:rPr>
            </w:pPr>
          </w:p>
          <w:p w14:paraId="25E54CF7" w14:textId="77777777" w:rsidR="00C578EE" w:rsidRPr="003B6D48" w:rsidRDefault="00C578EE" w:rsidP="00C578EE">
            <w:pPr>
              <w:spacing w:after="0"/>
              <w:rPr>
                <w:rFonts w:ascii="Constantia" w:eastAsia="Calibri" w:hAnsi="Constantia" w:cs="Times New Roman"/>
                <w:sz w:val="21"/>
                <w:szCs w:val="21"/>
                <w:lang w:val="en-GB"/>
              </w:rPr>
            </w:pPr>
          </w:p>
          <w:p w14:paraId="68C676CC" w14:textId="77777777" w:rsidR="00C578EE" w:rsidRPr="003B6D48" w:rsidRDefault="00C578EE" w:rsidP="00C578EE">
            <w:pPr>
              <w:spacing w:after="0"/>
              <w:jc w:val="center"/>
              <w:rPr>
                <w:rFonts w:ascii="Constantia" w:eastAsia="Calibri" w:hAnsi="Constantia" w:cs="Times New Roman"/>
                <w:sz w:val="21"/>
                <w:szCs w:val="21"/>
                <w:lang w:val="en-GB"/>
              </w:rPr>
            </w:pPr>
          </w:p>
          <w:p w14:paraId="20C84C80" w14:textId="77777777" w:rsidR="00C578EE" w:rsidRPr="003B6D48" w:rsidRDefault="00C578EE" w:rsidP="00C578EE">
            <w:pPr>
              <w:spacing w:after="0"/>
              <w:jc w:val="center"/>
              <w:rPr>
                <w:rFonts w:ascii="Constantia" w:eastAsia="Calibri" w:hAnsi="Constantia" w:cs="Times New Roman"/>
                <w:sz w:val="21"/>
                <w:szCs w:val="21"/>
                <w:lang w:val="en-GB"/>
              </w:rPr>
            </w:pPr>
          </w:p>
          <w:p w14:paraId="3F2B7C8D" w14:textId="77777777" w:rsidR="00C578EE" w:rsidRPr="003B6D48" w:rsidRDefault="009A55EB" w:rsidP="00C578EE">
            <w:pPr>
              <w:spacing w:after="0"/>
              <w:jc w:val="center"/>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t>
            </w:r>
          </w:p>
        </w:tc>
        <w:tc>
          <w:tcPr>
            <w:tcW w:w="4536" w:type="dxa"/>
          </w:tcPr>
          <w:p w14:paraId="025613F4" w14:textId="77777777" w:rsidR="00C578EE" w:rsidRPr="003B6D48" w:rsidRDefault="009A55EB" w:rsidP="00C578EE">
            <w:pPr>
              <w:spacing w:after="0"/>
              <w:rPr>
                <w:rFonts w:ascii="Constantia" w:hAnsi="Constantia"/>
                <w:sz w:val="21"/>
                <w:szCs w:val="21"/>
                <w:lang w:val="en-GB"/>
              </w:rPr>
            </w:pPr>
            <w:r w:rsidRPr="003B6D48">
              <w:rPr>
                <w:rFonts w:ascii="Constantia" w:hAnsi="Constantia"/>
                <w:sz w:val="21"/>
                <w:szCs w:val="21"/>
                <w:lang w:val="en-GB"/>
              </w:rPr>
              <w:t>the actual amount repaid per redeemed share less the share’s market value during a period of 25 trading days immediately preceding the day on which the share is listed not carrying an entitlement to participate in the reduction (the share’s average price)</w:t>
            </w:r>
          </w:p>
        </w:tc>
      </w:tr>
      <w:tr w:rsidR="00C81799" w:rsidRPr="004E41F1" w14:paraId="5DBC019F" w14:textId="77777777" w:rsidTr="00C578EE">
        <w:trPr>
          <w:cantSplit/>
        </w:trPr>
        <w:tc>
          <w:tcPr>
            <w:tcW w:w="2268" w:type="dxa"/>
            <w:vMerge/>
            <w:tcBorders>
              <w:top w:val="nil"/>
              <w:bottom w:val="nil"/>
            </w:tcBorders>
          </w:tcPr>
          <w:p w14:paraId="5AD60DA2" w14:textId="77777777" w:rsidR="00C578EE" w:rsidRPr="003B6D48" w:rsidRDefault="00C578EE" w:rsidP="00C578EE">
            <w:pPr>
              <w:spacing w:after="0"/>
              <w:rPr>
                <w:rFonts w:ascii="Constantia" w:eastAsia="Calibri" w:hAnsi="Constantia" w:cs="Times New Roman"/>
                <w:sz w:val="21"/>
                <w:szCs w:val="21"/>
                <w:lang w:val="en-GB"/>
              </w:rPr>
            </w:pPr>
          </w:p>
        </w:tc>
        <w:tc>
          <w:tcPr>
            <w:tcW w:w="850" w:type="dxa"/>
            <w:vMerge/>
            <w:tcBorders>
              <w:top w:val="nil"/>
              <w:bottom w:val="nil"/>
            </w:tcBorders>
          </w:tcPr>
          <w:p w14:paraId="60D5D8CA" w14:textId="77777777" w:rsidR="00C578EE" w:rsidRPr="003B6D48" w:rsidRDefault="00C578EE" w:rsidP="00C578EE">
            <w:pPr>
              <w:spacing w:after="0"/>
              <w:rPr>
                <w:rFonts w:ascii="Constantia" w:eastAsia="Calibri" w:hAnsi="Constantia" w:cs="Times New Roman"/>
                <w:sz w:val="21"/>
                <w:szCs w:val="21"/>
                <w:lang w:val="en-GB"/>
              </w:rPr>
            </w:pPr>
          </w:p>
        </w:tc>
        <w:tc>
          <w:tcPr>
            <w:tcW w:w="4536" w:type="dxa"/>
          </w:tcPr>
          <w:p w14:paraId="06EAAE87" w14:textId="77777777" w:rsidR="00C578EE" w:rsidRPr="003B6D48" w:rsidRDefault="009A55EB" w:rsidP="00C578EE">
            <w:pPr>
              <w:spacing w:after="0"/>
              <w:rPr>
                <w:rFonts w:ascii="Constantia" w:hAnsi="Constantia"/>
                <w:sz w:val="21"/>
                <w:szCs w:val="21"/>
                <w:lang w:val="en-GB"/>
              </w:rPr>
            </w:pPr>
            <w:r w:rsidRPr="003B6D48">
              <w:rPr>
                <w:rFonts w:ascii="Constantia" w:hAnsi="Constantia"/>
                <w:sz w:val="21"/>
                <w:szCs w:val="21"/>
                <w:lang w:val="en-GB"/>
              </w:rPr>
              <w:t>the number of shares which form the basis of redemption of a share less 1</w:t>
            </w:r>
          </w:p>
          <w:p w14:paraId="74362F28" w14:textId="77777777" w:rsidR="00C578EE" w:rsidRPr="003B6D48" w:rsidRDefault="00C578EE" w:rsidP="00C578EE">
            <w:pPr>
              <w:spacing w:after="0"/>
              <w:rPr>
                <w:rFonts w:ascii="Constantia" w:eastAsia="Calibri" w:hAnsi="Constantia" w:cs="Times New Roman"/>
                <w:sz w:val="21"/>
                <w:szCs w:val="21"/>
                <w:lang w:val="en-GB"/>
              </w:rPr>
            </w:pPr>
          </w:p>
        </w:tc>
      </w:tr>
    </w:tbl>
    <w:p w14:paraId="109726C7" w14:textId="77777777" w:rsidR="00C578EE" w:rsidRPr="003B6D48" w:rsidRDefault="00C578EE" w:rsidP="00C578EE">
      <w:pPr>
        <w:ind w:left="720"/>
        <w:rPr>
          <w:rFonts w:ascii="Constantia" w:eastAsia="Calibri" w:hAnsi="Constantia" w:cs="Times New Roman"/>
          <w:sz w:val="21"/>
          <w:szCs w:val="21"/>
          <w:lang w:val="en-GB"/>
        </w:rPr>
      </w:pPr>
    </w:p>
    <w:p w14:paraId="11B756FE" w14:textId="6B4D1DD4"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 xml:space="preserve">The share’s average price shall be calculated in accordance with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w:t>
      </w:r>
    </w:p>
    <w:p w14:paraId="419118AD"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recalculated subscription price and the recalculated number of shares in accordance with the above shall be determined by the company two banking days after the expiry of the stated period of 25 trading days and shall be applied to subscriptions effected thereafter.</w:t>
      </w:r>
    </w:p>
    <w:p w14:paraId="766C8CD8" w14:textId="6FA5966F"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conjunction with subscriptions which are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during the period pending determination of a recalculated subscription price and recalculated number of shares, the provisions of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_Ref374352126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7.3</w:t>
      </w:r>
      <w:r w:rsidRPr="003B6D48">
        <w:rPr>
          <w:rFonts w:ascii="Constantia" w:eastAsia="Calibri" w:hAnsi="Constantia" w:cs="Times New Roman"/>
          <w:sz w:val="21"/>
          <w:szCs w:val="21"/>
          <w:lang w:val="en-GB"/>
        </w:rPr>
        <w:fldChar w:fldCharType="end"/>
      </w:r>
      <w:r w:rsidRPr="003B6D48">
        <w:rPr>
          <w:rFonts w:ascii="Constantia" w:hAnsi="Constantia"/>
          <w:sz w:val="21"/>
          <w:szCs w:val="21"/>
          <w:lang w:val="en-GB"/>
        </w:rPr>
        <w:t>, final paragraph, shall apply mutatis mutandis.</w:t>
      </w:r>
    </w:p>
    <w:p w14:paraId="3D643F2B" w14:textId="2C55DC84"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the event the company’s share capital is to be reduced through redemption of shares with repayment to the shareholders and such reduction is not mandatory, or where the Company is to carry out a </w:t>
      </w:r>
      <w:r w:rsidRPr="003B6D48">
        <w:rPr>
          <w:rFonts w:ascii="Constantia" w:hAnsi="Constantia"/>
          <w:b/>
          <w:sz w:val="21"/>
          <w:szCs w:val="21"/>
          <w:lang w:val="en-GB"/>
        </w:rPr>
        <w:t>buyback of its shares</w:t>
      </w:r>
      <w:r w:rsidRPr="003B6D48">
        <w:rPr>
          <w:rFonts w:ascii="Constantia" w:hAnsi="Constantia"/>
          <w:sz w:val="21"/>
          <w:szCs w:val="21"/>
          <w:lang w:val="en-GB"/>
        </w:rPr>
        <w:t xml:space="preserve"> - without a reduction in the share capital being involved - but where, in the company’s opinion, in light of the technical structure and economic effects thereof, the measure is comparable to a mandatory reduction, a recalculation of the subscription price and number of shares to which each warrant provides an entitlement to subscribe shall be carried out applying, as far as possible, the principles stated in this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_Ref374353351 \r \h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7.7</w:t>
      </w:r>
      <w:r w:rsidRPr="003B6D48">
        <w:rPr>
          <w:rFonts w:ascii="Constantia" w:eastAsia="Calibri" w:hAnsi="Constantia" w:cs="Times New Roman"/>
          <w:sz w:val="21"/>
          <w:szCs w:val="21"/>
          <w:lang w:val="en-GB"/>
        </w:rPr>
        <w:fldChar w:fldCharType="end"/>
      </w:r>
      <w:r w:rsidRPr="003B6D48">
        <w:rPr>
          <w:rFonts w:ascii="Constantia" w:hAnsi="Constantia"/>
          <w:sz w:val="21"/>
          <w:szCs w:val="21"/>
          <w:lang w:val="en-GB"/>
        </w:rPr>
        <w:t>.</w:t>
      </w:r>
    </w:p>
    <w:p w14:paraId="49D82279" w14:textId="77777777" w:rsidR="00C578EE" w:rsidRPr="003B6D48" w:rsidRDefault="009A55EB" w:rsidP="00C578EE">
      <w:pPr>
        <w:keepNext/>
        <w:keepLines/>
        <w:numPr>
          <w:ilvl w:val="1"/>
          <w:numId w:val="21"/>
        </w:numPr>
        <w:rPr>
          <w:rFonts w:ascii="Constantia" w:eastAsia="Times New Roman" w:hAnsi="Constantia" w:cs="Times New Roman"/>
          <w:bCs/>
          <w:sz w:val="21"/>
          <w:szCs w:val="21"/>
          <w:lang w:val="en-GB"/>
        </w:rPr>
      </w:pPr>
      <w:r w:rsidRPr="003B6D48">
        <w:rPr>
          <w:rFonts w:ascii="Constantia" w:eastAsia="Times New Roman" w:hAnsi="Constantia" w:cs="Times New Roman"/>
          <w:bCs/>
          <w:sz w:val="21"/>
          <w:szCs w:val="21"/>
          <w:lang w:val="en-GB"/>
        </w:rPr>
        <w:t xml:space="preserve">In </w:t>
      </w:r>
      <w:r w:rsidRPr="003B6D48">
        <w:rPr>
          <w:rFonts w:ascii="Constantia" w:hAnsi="Constantia"/>
          <w:sz w:val="21"/>
          <w:szCs w:val="21"/>
          <w:lang w:val="en-GB"/>
        </w:rPr>
        <w:t>the event the company effects a change in the accounting currency, entailing that the company’s share capital shall be established in a currency other than SEK, the subscription price shall be recalculated in the same currency as the share capital, and thereupon be rounded off to two decimals. Such currency recalculation shall take place applying the exchange rate which was used to recalculate the share capital in conjunction with the change in currency.</w:t>
      </w:r>
      <w:r w:rsidRPr="003B6D48">
        <w:rPr>
          <w:rFonts w:ascii="Constantia" w:eastAsia="Times New Roman" w:hAnsi="Constantia" w:cs="Times New Roman"/>
          <w:bCs/>
          <w:sz w:val="21"/>
          <w:szCs w:val="21"/>
          <w:lang w:val="en-GB"/>
        </w:rPr>
        <w:t xml:space="preserve"> </w:t>
      </w:r>
    </w:p>
    <w:p w14:paraId="03AF4B3C"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A recalculated subscription price in accordance with the provisions above shall be determined by the company and shall be applied to subscriptions effected commencing the day on which the change in the accounting currency takes effect.</w:t>
      </w:r>
    </w:p>
    <w:p w14:paraId="76E5F703" w14:textId="15FDE25B"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hAnsi="Constantia"/>
          <w:sz w:val="21"/>
          <w:szCs w:val="21"/>
          <w:lang w:val="en-GB"/>
        </w:rPr>
        <w:t xml:space="preserve">In the event the company carries out any measure as referred to in sections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_Ref374352087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7.1</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_Ref374352332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7.5</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 xml:space="preserve">,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_Ref374353293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
          <w:sz w:val="21"/>
          <w:szCs w:val="21"/>
          <w:lang w:val="en-US"/>
        </w:rPr>
        <w:t>Error! Reference source not found.</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 xml:space="preserve"> or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_Ref374353351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7.7</w:t>
      </w:r>
      <w:r w:rsidRPr="003B6D48">
        <w:rPr>
          <w:rFonts w:ascii="Constantia" w:eastAsia="Times New Roman" w:hAnsi="Constantia" w:cs="Times New Roman"/>
          <w:bCs/>
          <w:sz w:val="21"/>
          <w:szCs w:val="21"/>
          <w:lang w:val="en-GB"/>
        </w:rPr>
        <w:fldChar w:fldCharType="end"/>
      </w:r>
      <w:r w:rsidRPr="003B6D48">
        <w:rPr>
          <w:rFonts w:ascii="Constantia" w:hAnsi="Constantia"/>
          <w:sz w:val="21"/>
          <w:szCs w:val="21"/>
          <w:lang w:val="en-GB"/>
        </w:rPr>
        <w:t xml:space="preserve"> and where, in the company’s opinion, in light of the technical structure of the measure or for any other reason, application of the prescribed recalculation formulae cannot take place or results in the financial compensation received by the holders being unreasonable, the company, provided that the company’s board of directors gives written consent thereto, shall carry out a recalculation of the subscription price and the number of shares provided by each warrant in such manner as the board deems appropriate in order to obtain a reasonable result, provided however that such recalculation cannot result in a disadvantage to the holders of warrants.</w:t>
      </w:r>
    </w:p>
    <w:p w14:paraId="6F423376" w14:textId="77777777"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eastAsia="Times New Roman" w:hAnsi="Constantia" w:cs="Times New Roman"/>
          <w:bCs/>
          <w:sz w:val="21"/>
          <w:szCs w:val="21"/>
          <w:lang w:val="en-GB"/>
        </w:rPr>
        <w:t xml:space="preserve">In the determination of a recalculated subscription price in accordance with the above, the subscription price shall be rounded off to the nearest ten </w:t>
      </w:r>
      <w:proofErr w:type="spellStart"/>
      <w:r w:rsidRPr="003B6D48">
        <w:rPr>
          <w:rFonts w:ascii="Constantia" w:eastAsia="Times New Roman" w:hAnsi="Constantia" w:cs="Times New Roman"/>
          <w:bCs/>
          <w:sz w:val="21"/>
          <w:szCs w:val="21"/>
          <w:lang w:val="en-GB"/>
        </w:rPr>
        <w:t>öre</w:t>
      </w:r>
      <w:proofErr w:type="spellEnd"/>
      <w:r w:rsidRPr="003B6D48">
        <w:rPr>
          <w:rFonts w:ascii="Constantia" w:eastAsia="Times New Roman" w:hAnsi="Constantia" w:cs="Times New Roman"/>
          <w:bCs/>
          <w:sz w:val="21"/>
          <w:szCs w:val="21"/>
          <w:lang w:val="en-GB"/>
        </w:rPr>
        <w:t xml:space="preserve"> (SEK 0.10), </w:t>
      </w:r>
      <w:r w:rsidRPr="003B6D48">
        <w:rPr>
          <w:rFonts w:ascii="Constantia" w:eastAsia="Times New Roman" w:hAnsi="Constantia" w:cs="Times New Roman"/>
          <w:bCs/>
          <w:sz w:val="21"/>
          <w:szCs w:val="21"/>
          <w:lang w:val="en-GB"/>
        </w:rPr>
        <w:lastRenderedPageBreak/>
        <w:t xml:space="preserve">whereby five </w:t>
      </w:r>
      <w:proofErr w:type="spellStart"/>
      <w:r w:rsidRPr="003B6D48">
        <w:rPr>
          <w:rFonts w:ascii="Constantia" w:eastAsia="Times New Roman" w:hAnsi="Constantia" w:cs="Times New Roman"/>
          <w:bCs/>
          <w:sz w:val="21"/>
          <w:szCs w:val="21"/>
          <w:lang w:val="en-GB"/>
        </w:rPr>
        <w:t>öre</w:t>
      </w:r>
      <w:proofErr w:type="spellEnd"/>
      <w:r w:rsidRPr="003B6D48">
        <w:rPr>
          <w:rFonts w:ascii="Constantia" w:eastAsia="Times New Roman" w:hAnsi="Constantia" w:cs="Times New Roman"/>
          <w:bCs/>
          <w:sz w:val="21"/>
          <w:szCs w:val="21"/>
          <w:lang w:val="en-GB"/>
        </w:rPr>
        <w:t xml:space="preserve"> (SEK 0.05) shall be rounded upwards and the number of shares be rounded off to two decimals. </w:t>
      </w:r>
      <w:proofErr w:type="gramStart"/>
      <w:r w:rsidRPr="003B6D48">
        <w:rPr>
          <w:rFonts w:ascii="Constantia" w:eastAsia="Times New Roman" w:hAnsi="Constantia" w:cs="Times New Roman"/>
          <w:bCs/>
          <w:sz w:val="21"/>
          <w:szCs w:val="21"/>
          <w:lang w:val="en-GB"/>
        </w:rPr>
        <w:t>In the event that</w:t>
      </w:r>
      <w:proofErr w:type="gramEnd"/>
      <w:r w:rsidRPr="003B6D48">
        <w:rPr>
          <w:rFonts w:ascii="Constantia" w:eastAsia="Times New Roman" w:hAnsi="Constantia" w:cs="Times New Roman"/>
          <w:bCs/>
          <w:sz w:val="21"/>
          <w:szCs w:val="21"/>
          <w:lang w:val="en-GB"/>
        </w:rPr>
        <w:t xml:space="preserve"> subscription price is determined in a currency other than SEK the subscription price shall, at recalculations as described above, instead by rounded off to two decimals.</w:t>
      </w:r>
    </w:p>
    <w:p w14:paraId="59BD1BFE" w14:textId="2DF20898" w:rsidR="00C578EE" w:rsidRPr="003B6D48" w:rsidRDefault="009A55EB" w:rsidP="00C578EE">
      <w:pPr>
        <w:numPr>
          <w:ilvl w:val="1"/>
          <w:numId w:val="21"/>
        </w:numPr>
        <w:rPr>
          <w:rFonts w:ascii="Constantia" w:eastAsia="Times New Roman" w:hAnsi="Constantia" w:cs="Times New Roman"/>
          <w:bCs/>
          <w:sz w:val="21"/>
          <w:szCs w:val="21"/>
          <w:lang w:val="en-GB"/>
        </w:rPr>
      </w:pPr>
      <w:bookmarkStart w:id="18" w:name="_Ref374353564"/>
      <w:r w:rsidRPr="003B6D48">
        <w:rPr>
          <w:rFonts w:ascii="Constantia" w:hAnsi="Constantia"/>
          <w:sz w:val="21"/>
          <w:szCs w:val="21"/>
          <w:lang w:val="en-GB"/>
        </w:rPr>
        <w:t xml:space="preserve">In the event a shareholder (the majority shareholder), on its own or together with a subsidiary, owns shares representing such a part of all shares that the majority shareholder, in accordance with the applicable law, is entitled to commence </w:t>
      </w:r>
      <w:r w:rsidRPr="003B6D48">
        <w:rPr>
          <w:rFonts w:ascii="Constantia" w:hAnsi="Constantia"/>
          <w:b/>
          <w:sz w:val="21"/>
          <w:szCs w:val="21"/>
          <w:lang w:val="en-GB"/>
        </w:rPr>
        <w:t xml:space="preserve">a buy-out procedure </w:t>
      </w:r>
      <w:r w:rsidRPr="003B6D48">
        <w:rPr>
          <w:rFonts w:ascii="Constantia" w:hAnsi="Constantia"/>
          <w:sz w:val="21"/>
          <w:szCs w:val="21"/>
          <w:lang w:val="en-GB"/>
        </w:rPr>
        <w:t xml:space="preserve">of the remaining shares and the majority holder announces its intention to claim such buy-out, and in the event the last date for subscription in accordance with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eastAsia="Times New Roman" w:hAnsi="Constantia" w:cs="Times New Roman"/>
          <w:bCs/>
          <w:sz w:val="21"/>
          <w:szCs w:val="21"/>
          <w:lang w:val="en-GB"/>
        </w:rPr>
        <w:t xml:space="preserve"> occurs after such intention has been announced, the company shall establish a new last date for claiming subscription (the expiry date). The expiry date shall occur within 60 days of the announcement of this intention.</w:t>
      </w:r>
      <w:bookmarkEnd w:id="18"/>
    </w:p>
    <w:p w14:paraId="46E7CF4B" w14:textId="15F5FACD"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After the expiry date has been determined,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w:t>
      </w:r>
      <w:r w:rsidRPr="003B6D48">
        <w:rPr>
          <w:rFonts w:ascii="Constantia" w:eastAsia="Calibri" w:hAnsi="Constantia" w:cs="Times New Roman"/>
          <w:sz w:val="21"/>
          <w:szCs w:val="21"/>
          <w:lang w:val="en-GB"/>
        </w:rPr>
        <w:t>regarding the earliest date for demanding subscription, holders of warrants are entitled to demand subscription until the last date. The company shall at latest four weeks prior to the expiry date remind the known holders of warrants through a written notice of this right as well as give information that subscription may not be demanded after the expiry date.</w:t>
      </w:r>
    </w:p>
    <w:p w14:paraId="460838ED" w14:textId="4A97B8EC"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Where the majority holder has commenced a buy-out procedure and an agreement regarding the buy-out cannot be reached subscription may not, in accordance with Chapter 22, Section 26 paragraph 2 of the Companies Act, occur before the buy-out dispute has been decided through an award or decision which has become final. Where the subscription period in accordance with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w:t>
      </w:r>
      <w:r w:rsidRPr="003B6D48">
        <w:rPr>
          <w:rFonts w:ascii="Constantia" w:eastAsia="Calibri" w:hAnsi="Constantia" w:cs="Times New Roman"/>
          <w:sz w:val="21"/>
          <w:szCs w:val="21"/>
          <w:lang w:val="en-GB"/>
        </w:rPr>
        <w:t>expires before such time or within three months thereafter, the holder of the warrant shall nevertheless be entitled to exercise the warrant during three months after the decision became final.</w:t>
      </w:r>
    </w:p>
    <w:p w14:paraId="447CBD48" w14:textId="7FC56C33"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hAnsi="Constantia"/>
          <w:sz w:val="21"/>
          <w:szCs w:val="21"/>
          <w:lang w:val="en-GB"/>
        </w:rPr>
        <w:t xml:space="preserve">In the event a Swedish limited liability company owns all of the shares in the company, and the company’s board of directors intends to prepare a </w:t>
      </w:r>
      <w:r w:rsidRPr="003B6D48">
        <w:rPr>
          <w:rFonts w:ascii="Constantia" w:hAnsi="Constantia"/>
          <w:b/>
          <w:sz w:val="21"/>
          <w:szCs w:val="21"/>
          <w:lang w:val="en-GB"/>
        </w:rPr>
        <w:t>merger plan</w:t>
      </w:r>
      <w:r w:rsidRPr="003B6D48">
        <w:rPr>
          <w:rFonts w:ascii="Constantia" w:hAnsi="Constantia"/>
          <w:sz w:val="21"/>
          <w:szCs w:val="21"/>
          <w:lang w:val="en-GB"/>
        </w:rPr>
        <w:t xml:space="preserve"> pursuant to Chapter 23, Section 28 of the Companies Act, the company shall, in the event the final date for demanding subscription pursuant to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above falls on a day after such intention is at hand, establish a new final date for demanding subscription (the expiry date). The expiry date shall be a day within 60 days of such intention being at hand or, where an announcement of such intention has occurred, from the announcement.</w:t>
      </w:r>
    </w:p>
    <w:p w14:paraId="00763D31" w14:textId="294B1145" w:rsidR="00C578EE" w:rsidRPr="003B6D48" w:rsidRDefault="009A55EB" w:rsidP="00C578EE">
      <w:pPr>
        <w:pStyle w:val="ListParagraph"/>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After the expiry date has been determined,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r</w:t>
      </w:r>
      <w:r w:rsidRPr="003B6D48">
        <w:rPr>
          <w:rFonts w:ascii="Constantia" w:eastAsia="Calibri" w:hAnsi="Constantia" w:cs="Times New Roman"/>
          <w:sz w:val="21"/>
          <w:szCs w:val="21"/>
          <w:lang w:val="en-GB"/>
        </w:rPr>
        <w:t>egarding the earliest date for demanding subscription, holders of warrants are entitled to demand subscription until the expiry date. The company shall at latest four weeks prior to the expiry date remind the known holders of warrants through a written notice of this right as well as give information that subscription may not be demanded after the last date.</w:t>
      </w:r>
    </w:p>
    <w:p w14:paraId="53161F98" w14:textId="77777777"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hAnsi="Constantia"/>
          <w:sz w:val="21"/>
          <w:szCs w:val="21"/>
          <w:lang w:val="en-GB"/>
        </w:rPr>
        <w:t xml:space="preserve">In the event the general meeting approves a </w:t>
      </w:r>
      <w:r w:rsidRPr="003B6D48">
        <w:rPr>
          <w:rFonts w:ascii="Constantia" w:hAnsi="Constantia"/>
          <w:b/>
          <w:sz w:val="21"/>
          <w:szCs w:val="21"/>
          <w:lang w:val="en-GB"/>
        </w:rPr>
        <w:t>merger plan</w:t>
      </w:r>
      <w:r w:rsidRPr="003B6D48">
        <w:rPr>
          <w:rFonts w:ascii="Constantia" w:hAnsi="Constantia"/>
          <w:sz w:val="21"/>
          <w:szCs w:val="21"/>
          <w:lang w:val="en-GB"/>
        </w:rPr>
        <w:t xml:space="preserve"> pursuant to Chapter 23, Section 15 of the Companies Act, or all shareholders of the participating companies sign such merger plan in accordance with paragraph four of said section, whereby the company is to be merged in another company, subscription may not be demanded thereafter.</w:t>
      </w:r>
    </w:p>
    <w:p w14:paraId="12C6FD2A"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hAnsi="Constantia"/>
          <w:sz w:val="21"/>
          <w:szCs w:val="21"/>
          <w:lang w:val="en-GB"/>
        </w:rPr>
        <w:t xml:space="preserve">Not later than two months prior to the company making a final determination with respect to the merger in accordance with the above, the known holders of warrants shall be given written notice of the intended merger. The notice shall contain information about the main content of the merger plan and information that </w:t>
      </w:r>
      <w:r w:rsidRPr="003B6D48">
        <w:rPr>
          <w:rFonts w:ascii="Constantia" w:hAnsi="Constantia"/>
          <w:sz w:val="21"/>
          <w:szCs w:val="21"/>
          <w:lang w:val="en-GB"/>
        </w:rPr>
        <w:lastRenderedPageBreak/>
        <w:t xml:space="preserve">subscription may not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after a final resolution regarding the merger has been taken or when the merger plan has been signed by the shareholders.</w:t>
      </w:r>
    </w:p>
    <w:p w14:paraId="76EAE542" w14:textId="68A41130"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the event the company gives notice of an intended merger in accordance with the above, holders of warrants shall,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w:t>
      </w:r>
      <w:r w:rsidRPr="003B6D48">
        <w:rPr>
          <w:rFonts w:ascii="Constantia" w:eastAsia="Calibri" w:hAnsi="Constantia" w:cs="Times New Roman"/>
          <w:sz w:val="21"/>
          <w:szCs w:val="21"/>
          <w:lang w:val="en-GB"/>
        </w:rPr>
        <w:t>regarding the earliest date for claiming subscription,</w:t>
      </w:r>
      <w:r w:rsidRPr="003B6D48">
        <w:rPr>
          <w:rFonts w:ascii="Constantia" w:hAnsi="Constantia"/>
          <w:sz w:val="21"/>
          <w:szCs w:val="21"/>
          <w:lang w:val="en-GB"/>
        </w:rPr>
        <w:t xml:space="preserve"> be entitled to apply for subscription commencing on the date on which notice of the intended merger was given, provided that subscription can be effected not later than on the twentieth day prior to the date of the general meeting at which the merger plan is to be approved or prior to the date on which the shareholders sign the merger plan.</w:t>
      </w:r>
    </w:p>
    <w:p w14:paraId="2C6A0D3D" w14:textId="77777777"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hAnsi="Constantia"/>
          <w:sz w:val="21"/>
          <w:szCs w:val="21"/>
          <w:lang w:val="en-GB"/>
        </w:rPr>
        <w:t xml:space="preserve">In the event the general meeting approves a </w:t>
      </w:r>
      <w:r w:rsidRPr="003B6D48">
        <w:rPr>
          <w:rFonts w:ascii="Constantia" w:hAnsi="Constantia"/>
          <w:b/>
          <w:sz w:val="21"/>
          <w:szCs w:val="21"/>
          <w:lang w:val="en-GB"/>
        </w:rPr>
        <w:t>demerger plan</w:t>
      </w:r>
      <w:r w:rsidRPr="003B6D48">
        <w:rPr>
          <w:rFonts w:ascii="Constantia" w:hAnsi="Constantia"/>
          <w:sz w:val="21"/>
          <w:szCs w:val="21"/>
          <w:lang w:val="en-GB"/>
        </w:rPr>
        <w:t xml:space="preserve"> pursuant to Chapter 24, Section 17 of the Companies Act whereby the company shall be demerged through </w:t>
      </w:r>
      <w:proofErr w:type="gramStart"/>
      <w:r w:rsidRPr="003B6D48">
        <w:rPr>
          <w:rFonts w:ascii="Constantia" w:hAnsi="Constantia"/>
          <w:sz w:val="21"/>
          <w:szCs w:val="21"/>
          <w:lang w:val="en-GB"/>
        </w:rPr>
        <w:t>all of</w:t>
      </w:r>
      <w:proofErr w:type="gramEnd"/>
      <w:r w:rsidRPr="003B6D48">
        <w:rPr>
          <w:rFonts w:ascii="Constantia" w:hAnsi="Constantia"/>
          <w:sz w:val="21"/>
          <w:szCs w:val="21"/>
          <w:lang w:val="en-GB"/>
        </w:rPr>
        <w:t xml:space="preserve"> the company’s assets and liabilities being taken over by one or more companies, subscription may not be demanded thereafter. </w:t>
      </w:r>
    </w:p>
    <w:p w14:paraId="7B8AA52A" w14:textId="77777777" w:rsidR="00C578EE" w:rsidRPr="003B6D48" w:rsidRDefault="009A55EB" w:rsidP="00C578EE">
      <w:pPr>
        <w:pStyle w:val="ListParagraph"/>
        <w:ind w:left="851"/>
        <w:rPr>
          <w:rFonts w:ascii="Constantia" w:eastAsia="Calibri" w:hAnsi="Constantia" w:cs="Times New Roman"/>
          <w:sz w:val="21"/>
          <w:szCs w:val="21"/>
          <w:lang w:val="en-GB"/>
        </w:rPr>
      </w:pPr>
      <w:r w:rsidRPr="003B6D48">
        <w:rPr>
          <w:rFonts w:ascii="Constantia" w:hAnsi="Constantia"/>
          <w:sz w:val="21"/>
          <w:szCs w:val="21"/>
          <w:lang w:val="en-GB"/>
        </w:rPr>
        <w:t xml:space="preserve">Not later than two months prior to the company making a final determination with respect to the demerger in accordance with the above, the known holders of warrants shall be given written notice of the intended demerger. The notice shall contain information about the main content of the demerger plan and information that subscription may not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after a resolution regarding the demerger has been taken or when the demerger plan has been signed by the shareholders.</w:t>
      </w:r>
    </w:p>
    <w:p w14:paraId="10EF2B74" w14:textId="6426248A"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the event the company gives notice of an intended demerger in accordance with the above, holders of warrants shall,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w:t>
      </w:r>
      <w:r w:rsidRPr="003B6D48">
        <w:rPr>
          <w:rFonts w:ascii="Constantia" w:eastAsia="Calibri" w:hAnsi="Constantia" w:cs="Times New Roman"/>
          <w:sz w:val="21"/>
          <w:szCs w:val="21"/>
          <w:lang w:val="en-GB"/>
        </w:rPr>
        <w:t>regarding the earliest date for claiming subscription,</w:t>
      </w:r>
      <w:r w:rsidRPr="003B6D48">
        <w:rPr>
          <w:rFonts w:ascii="Constantia" w:hAnsi="Constantia"/>
          <w:sz w:val="21"/>
          <w:szCs w:val="21"/>
          <w:lang w:val="en-GB"/>
        </w:rPr>
        <w:t xml:space="preserve"> be entitled to apply for subscription commencing on the date on which notice of the intended merger was given, provided that subscription can be effected not later than on the twentieth workday before the date of the general meeting at which the demerger plan is to be approved or before the date on which the shareholders sign the demerger plan.</w:t>
      </w:r>
    </w:p>
    <w:p w14:paraId="4262C9E5" w14:textId="77777777" w:rsidR="00C578EE" w:rsidRPr="003B6D48" w:rsidRDefault="009A55EB" w:rsidP="00C578EE">
      <w:pPr>
        <w:numPr>
          <w:ilvl w:val="1"/>
          <w:numId w:val="21"/>
        </w:numPr>
        <w:rPr>
          <w:rFonts w:ascii="Constantia" w:eastAsia="Times New Roman" w:hAnsi="Constantia" w:cs="Times New Roman"/>
          <w:bCs/>
          <w:sz w:val="21"/>
          <w:szCs w:val="21"/>
          <w:lang w:val="en-GB"/>
        </w:rPr>
      </w:pPr>
      <w:bookmarkStart w:id="19" w:name="_Ref374353572"/>
      <w:r w:rsidRPr="003B6D48">
        <w:rPr>
          <w:rFonts w:ascii="Constantia" w:eastAsia="Times New Roman" w:hAnsi="Constantia" w:cs="Times New Roman"/>
          <w:bCs/>
          <w:sz w:val="21"/>
          <w:szCs w:val="21"/>
          <w:lang w:val="en-GB"/>
        </w:rPr>
        <w:t xml:space="preserve">In the event it is decided that the company shall </w:t>
      </w:r>
      <w:proofErr w:type="gramStart"/>
      <w:r w:rsidRPr="003B6D48">
        <w:rPr>
          <w:rFonts w:ascii="Constantia" w:eastAsia="Times New Roman" w:hAnsi="Constantia" w:cs="Times New Roman"/>
          <w:bCs/>
          <w:sz w:val="21"/>
          <w:szCs w:val="21"/>
          <w:lang w:val="en-GB"/>
        </w:rPr>
        <w:t>enter into</w:t>
      </w:r>
      <w:proofErr w:type="gramEnd"/>
      <w:r w:rsidRPr="003B6D48">
        <w:rPr>
          <w:rFonts w:ascii="Constantia" w:eastAsia="Times New Roman" w:hAnsi="Constantia" w:cs="Times New Roman"/>
          <w:bCs/>
          <w:sz w:val="21"/>
          <w:szCs w:val="21"/>
          <w:lang w:val="en-GB"/>
        </w:rPr>
        <w:t xml:space="preserve"> </w:t>
      </w:r>
      <w:r w:rsidRPr="003B6D48">
        <w:rPr>
          <w:rFonts w:ascii="Constantia" w:eastAsia="Times New Roman" w:hAnsi="Constantia" w:cs="Times New Roman"/>
          <w:b/>
          <w:bCs/>
          <w:sz w:val="21"/>
          <w:szCs w:val="21"/>
          <w:lang w:val="en-GB"/>
        </w:rPr>
        <w:t xml:space="preserve">liquidation, </w:t>
      </w:r>
      <w:r w:rsidRPr="003B6D48">
        <w:rPr>
          <w:rFonts w:ascii="Constantia" w:eastAsia="Times New Roman" w:hAnsi="Constantia" w:cs="Times New Roman"/>
          <w:bCs/>
          <w:sz w:val="21"/>
          <w:szCs w:val="21"/>
          <w:lang w:val="en-GB"/>
        </w:rPr>
        <w:t>subscription may not be demanded thereafter, irrespective of the grounds for liquidation. The right to demand subscription expires with the resolution, regardless of whether the decision has become final.</w:t>
      </w:r>
      <w:bookmarkEnd w:id="19"/>
    </w:p>
    <w:p w14:paraId="62E83E57" w14:textId="77777777" w:rsidR="00C578EE" w:rsidRPr="003B6D48" w:rsidRDefault="009A55EB" w:rsidP="00C578EE">
      <w:pPr>
        <w:pStyle w:val="ListParagraph"/>
        <w:ind w:left="851"/>
        <w:rPr>
          <w:rFonts w:ascii="Constantia" w:eastAsia="Calibri" w:hAnsi="Constantia" w:cs="Times New Roman"/>
          <w:sz w:val="21"/>
          <w:szCs w:val="21"/>
          <w:lang w:val="en-GB"/>
        </w:rPr>
      </w:pPr>
      <w:r w:rsidRPr="003B6D48">
        <w:rPr>
          <w:rFonts w:ascii="Constantia" w:hAnsi="Constantia"/>
          <w:sz w:val="21"/>
          <w:szCs w:val="21"/>
          <w:lang w:val="en-GB"/>
        </w:rPr>
        <w:t xml:space="preserve">Not later than two months prior to the general meeting making a final determination with respect to voluntary liquidation, the known holders of warrants shall be given written notice of the intended liquidation. The notice shall contain information that subscription may not be </w:t>
      </w:r>
      <w:proofErr w:type="gramStart"/>
      <w:r w:rsidRPr="003B6D48">
        <w:rPr>
          <w:rFonts w:ascii="Constantia" w:hAnsi="Constantia"/>
          <w:sz w:val="21"/>
          <w:szCs w:val="21"/>
          <w:lang w:val="en-GB"/>
        </w:rPr>
        <w:t>effected</w:t>
      </w:r>
      <w:proofErr w:type="gramEnd"/>
      <w:r w:rsidRPr="003B6D48">
        <w:rPr>
          <w:rFonts w:ascii="Constantia" w:hAnsi="Constantia"/>
          <w:sz w:val="21"/>
          <w:szCs w:val="21"/>
          <w:lang w:val="en-GB"/>
        </w:rPr>
        <w:t xml:space="preserve"> after a resolution regarding the liquidation has been made by the general meeting.</w:t>
      </w:r>
    </w:p>
    <w:p w14:paraId="02AC7BE2" w14:textId="1A434ADA"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 xml:space="preserve">In the event the company gives notice of an intended liquidation in accordance with the above, holders of warrants shall,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hAnsi="Constantia"/>
          <w:sz w:val="21"/>
          <w:szCs w:val="21"/>
          <w:lang w:val="en-GB"/>
        </w:rPr>
        <w:t xml:space="preserve"> </w:t>
      </w:r>
      <w:r w:rsidRPr="003B6D48">
        <w:rPr>
          <w:rFonts w:ascii="Constantia" w:eastAsia="Calibri" w:hAnsi="Constantia" w:cs="Times New Roman"/>
          <w:sz w:val="21"/>
          <w:szCs w:val="21"/>
          <w:lang w:val="en-GB"/>
        </w:rPr>
        <w:t>regarding the earliest date for claiming subscription,</w:t>
      </w:r>
      <w:r w:rsidRPr="003B6D48">
        <w:rPr>
          <w:rFonts w:ascii="Constantia" w:hAnsi="Constantia"/>
          <w:sz w:val="21"/>
          <w:szCs w:val="21"/>
          <w:lang w:val="en-GB"/>
        </w:rPr>
        <w:t xml:space="preserve"> be entitled to apply for subscription commencing on the date on which notice was given, provided that subscription can be effected not later than on the tenth workday prior to the date of the general meeting at which the matter of liquidation is to be attended to.</w:t>
      </w:r>
    </w:p>
    <w:p w14:paraId="2E192C46" w14:textId="6EB692D4"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eastAsia="Times New Roman" w:hAnsi="Constantia" w:cs="Times New Roman"/>
          <w:bCs/>
          <w:sz w:val="21"/>
          <w:szCs w:val="21"/>
          <w:lang w:val="en-GB"/>
        </w:rPr>
        <w:t xml:space="preserve">Notwithstanding what is stated in section </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_Ref374353564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7.11</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w:t>
      </w:r>
      <w:r w:rsidRPr="003B6D48">
        <w:rPr>
          <w:rFonts w:ascii="Constantia" w:eastAsia="Times New Roman" w:hAnsi="Constantia" w:cs="Times New Roman"/>
          <w:bCs/>
          <w:sz w:val="21"/>
          <w:szCs w:val="21"/>
          <w:lang w:val="en-GB"/>
        </w:rPr>
        <w:fldChar w:fldCharType="begin"/>
      </w:r>
      <w:r w:rsidRPr="003B6D48">
        <w:rPr>
          <w:rFonts w:ascii="Constantia" w:eastAsia="Times New Roman" w:hAnsi="Constantia" w:cs="Times New Roman"/>
          <w:bCs/>
          <w:sz w:val="21"/>
          <w:szCs w:val="21"/>
          <w:lang w:val="en-GB"/>
        </w:rPr>
        <w:instrText xml:space="preserve"> REF _Ref374353572 \r \h  \* MERGEFORMAT </w:instrText>
      </w:r>
      <w:r w:rsidRPr="003B6D48">
        <w:rPr>
          <w:rFonts w:ascii="Constantia" w:eastAsia="Times New Roman" w:hAnsi="Constantia" w:cs="Times New Roman"/>
          <w:bCs/>
          <w:sz w:val="21"/>
          <w:szCs w:val="21"/>
          <w:lang w:val="en-GB"/>
        </w:rPr>
      </w:r>
      <w:r w:rsidRPr="003B6D48">
        <w:rPr>
          <w:rFonts w:ascii="Constantia" w:eastAsia="Times New Roman" w:hAnsi="Constantia" w:cs="Times New Roman"/>
          <w:bCs/>
          <w:sz w:val="21"/>
          <w:szCs w:val="21"/>
          <w:lang w:val="en-GB"/>
        </w:rPr>
        <w:fldChar w:fldCharType="separate"/>
      </w:r>
      <w:r w:rsidR="00966E67">
        <w:rPr>
          <w:rFonts w:ascii="Constantia" w:eastAsia="Times New Roman" w:hAnsi="Constantia" w:cs="Times New Roman"/>
          <w:bCs/>
          <w:sz w:val="21"/>
          <w:szCs w:val="21"/>
          <w:lang w:val="en-GB"/>
        </w:rPr>
        <w:t>7.15</w:t>
      </w:r>
      <w:r w:rsidRPr="003B6D48">
        <w:rPr>
          <w:rFonts w:ascii="Constantia" w:eastAsia="Times New Roman" w:hAnsi="Constantia" w:cs="Times New Roman"/>
          <w:bCs/>
          <w:sz w:val="21"/>
          <w:szCs w:val="21"/>
          <w:lang w:val="en-GB"/>
        </w:rPr>
        <w:fldChar w:fldCharType="end"/>
      </w:r>
      <w:r w:rsidRPr="003B6D48">
        <w:rPr>
          <w:rFonts w:ascii="Constantia" w:eastAsia="Times New Roman" w:hAnsi="Constantia" w:cs="Times New Roman"/>
          <w:bCs/>
          <w:sz w:val="21"/>
          <w:szCs w:val="21"/>
          <w:lang w:val="en-GB"/>
        </w:rPr>
        <w:t xml:space="preserve"> regarding it not being possible to demand subscription after the expiry of a new expiry date for a buy-out procedure or merger, approval or signing of a merger plan or demerger plan or a decision regarding liquidation, the right to demand subscription shall be reinstated in the event the buy-out procedure, merger or demerger is not carried through or the liquidation ends.</w:t>
      </w:r>
    </w:p>
    <w:p w14:paraId="16C4427D" w14:textId="77777777" w:rsidR="00C578EE" w:rsidRPr="003B6D48" w:rsidRDefault="009A55EB" w:rsidP="00C578EE">
      <w:pPr>
        <w:numPr>
          <w:ilvl w:val="1"/>
          <w:numId w:val="21"/>
        </w:numPr>
        <w:rPr>
          <w:rFonts w:ascii="Constantia" w:eastAsia="Times New Roman" w:hAnsi="Constantia" w:cs="Times New Roman"/>
          <w:bCs/>
          <w:sz w:val="21"/>
          <w:szCs w:val="21"/>
          <w:lang w:val="en-GB"/>
        </w:rPr>
      </w:pPr>
      <w:r w:rsidRPr="003B6D48">
        <w:rPr>
          <w:rFonts w:ascii="Constantia" w:eastAsia="Times New Roman" w:hAnsi="Constantia" w:cs="Times New Roman"/>
          <w:bCs/>
          <w:sz w:val="21"/>
          <w:szCs w:val="21"/>
          <w:lang w:val="en-GB"/>
        </w:rPr>
        <w:lastRenderedPageBreak/>
        <w:t>In the event of the company’s bankruptcy, subscription of shares may not take place. Where the bankruptcy order is set aside, the entitlement to subscribe shall be reinstated.</w:t>
      </w:r>
    </w:p>
    <w:p w14:paraId="023783B7"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PUBLIC TAKEOVER BID</w:t>
      </w:r>
    </w:p>
    <w:p w14:paraId="26C4AFD7" w14:textId="42A880E3" w:rsidR="00C578EE" w:rsidRPr="003B6D48" w:rsidRDefault="009A55EB" w:rsidP="00C578EE">
      <w:pPr>
        <w:ind w:left="851"/>
        <w:rPr>
          <w:rFonts w:ascii="Constantia" w:eastAsia="Times New Roman" w:hAnsi="Constantia" w:cs="Times New Roman"/>
          <w:bCs/>
          <w:sz w:val="21"/>
          <w:szCs w:val="21"/>
          <w:lang w:val="en-GB"/>
        </w:rPr>
      </w:pPr>
      <w:r w:rsidRPr="003B6D48">
        <w:rPr>
          <w:rFonts w:ascii="Constantia" w:eastAsia="Times New Roman" w:hAnsi="Constantia" w:cs="Times New Roman"/>
          <w:bCs/>
          <w:sz w:val="21"/>
          <w:szCs w:val="21"/>
          <w:lang w:val="en-GB"/>
        </w:rPr>
        <w:t xml:space="preserve">In the event of a public takeover bid being made with respect to the shares in the company the board of directors shall immediately notify the holders of warrants accordingly. Where such notice is given the holder of a warrant, notwithstanding what is stated in section </w:t>
      </w:r>
      <w:r w:rsidRPr="003B6D48">
        <w:rPr>
          <w:rFonts w:ascii="Constantia" w:hAnsi="Constantia"/>
          <w:sz w:val="21"/>
          <w:szCs w:val="21"/>
          <w:lang w:val="en-GB"/>
        </w:rPr>
        <w:fldChar w:fldCharType="begin"/>
      </w:r>
      <w:r w:rsidRPr="003B6D48">
        <w:rPr>
          <w:rFonts w:ascii="Constantia" w:hAnsi="Constantia"/>
          <w:sz w:val="21"/>
          <w:szCs w:val="21"/>
          <w:lang w:val="en-GB"/>
        </w:rPr>
        <w:instrText xml:space="preserve"> REF _Ref511232102 \r \h </w:instrText>
      </w:r>
      <w:r w:rsidR="003B6D48" w:rsidRPr="003B6D48">
        <w:rPr>
          <w:rFonts w:ascii="Constantia" w:hAnsi="Constantia"/>
          <w:sz w:val="21"/>
          <w:szCs w:val="21"/>
          <w:lang w:val="en-GB"/>
        </w:rPr>
        <w:instrText xml:space="preserve"> \* MERGEFORMAT </w:instrText>
      </w:r>
      <w:r w:rsidRPr="003B6D48">
        <w:rPr>
          <w:rFonts w:ascii="Constantia" w:hAnsi="Constantia"/>
          <w:sz w:val="21"/>
          <w:szCs w:val="21"/>
          <w:lang w:val="en-GB"/>
        </w:rPr>
      </w:r>
      <w:r w:rsidRPr="003B6D48">
        <w:rPr>
          <w:rFonts w:ascii="Constantia" w:hAnsi="Constantia"/>
          <w:sz w:val="21"/>
          <w:szCs w:val="21"/>
          <w:lang w:val="en-GB"/>
        </w:rPr>
        <w:fldChar w:fldCharType="separate"/>
      </w:r>
      <w:r w:rsidR="00966E67">
        <w:rPr>
          <w:rFonts w:ascii="Constantia" w:hAnsi="Constantia"/>
          <w:sz w:val="21"/>
          <w:szCs w:val="21"/>
          <w:lang w:val="en-GB"/>
        </w:rPr>
        <w:t>3</w:t>
      </w:r>
      <w:r w:rsidRPr="003B6D48">
        <w:rPr>
          <w:rFonts w:ascii="Constantia" w:hAnsi="Constantia"/>
          <w:sz w:val="21"/>
          <w:szCs w:val="21"/>
          <w:lang w:val="en-GB"/>
        </w:rPr>
        <w:fldChar w:fldCharType="end"/>
      </w:r>
      <w:r w:rsidRPr="003B6D48">
        <w:rPr>
          <w:rFonts w:ascii="Constantia" w:eastAsia="Times New Roman" w:hAnsi="Constantia" w:cs="Times New Roman"/>
          <w:bCs/>
          <w:sz w:val="21"/>
          <w:szCs w:val="21"/>
          <w:lang w:val="en-GB"/>
        </w:rPr>
        <w:t xml:space="preserve"> regarding the earliest date for subscription of new shares, shall be entitled to subscribe for shares from that date on terms otherwise corresponding to what is stated in these terms and conditions. The right to subscribe for shares under this section shall cease when and if the offeror announces its decision to revoke the public takeover bid. A public takeover bid refers to a public offer to holders of shares to transfer all shares.</w:t>
      </w:r>
    </w:p>
    <w:p w14:paraId="629A92F6"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SPECIFIC UNDERTAKING OF THE COMPANY</w:t>
      </w:r>
    </w:p>
    <w:p w14:paraId="5F04DFA0" w14:textId="2C83AC26"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 xml:space="preserve">The company undertakes not to take any action described in section </w:t>
      </w:r>
      <w:r w:rsidRPr="003B6D48">
        <w:rPr>
          <w:rFonts w:ascii="Constantia" w:eastAsia="Calibri" w:hAnsi="Constantia" w:cs="Times New Roman"/>
          <w:sz w:val="21"/>
          <w:szCs w:val="21"/>
          <w:lang w:val="en-GB"/>
        </w:rPr>
        <w:fldChar w:fldCharType="begin"/>
      </w:r>
      <w:r w:rsidRPr="003B6D48">
        <w:rPr>
          <w:rFonts w:ascii="Constantia" w:eastAsia="Calibri" w:hAnsi="Constantia" w:cs="Times New Roman"/>
          <w:sz w:val="21"/>
          <w:szCs w:val="21"/>
          <w:lang w:val="en-GB"/>
        </w:rPr>
        <w:instrText xml:space="preserve"> REF _Ref511232040 \r \h </w:instrText>
      </w:r>
      <w:r w:rsidR="003B6D48" w:rsidRPr="003B6D48">
        <w:rPr>
          <w:rFonts w:ascii="Constantia" w:eastAsia="Calibri" w:hAnsi="Constantia" w:cs="Times New Roman"/>
          <w:sz w:val="21"/>
          <w:szCs w:val="21"/>
          <w:lang w:val="en-GB"/>
        </w:rPr>
        <w:instrText xml:space="preserve"> \* MERGEFORMAT </w:instrText>
      </w:r>
      <w:r w:rsidRPr="003B6D48">
        <w:rPr>
          <w:rFonts w:ascii="Constantia" w:eastAsia="Calibri" w:hAnsi="Constantia" w:cs="Times New Roman"/>
          <w:sz w:val="21"/>
          <w:szCs w:val="21"/>
          <w:lang w:val="en-GB"/>
        </w:rPr>
      </w:r>
      <w:r w:rsidRPr="003B6D48">
        <w:rPr>
          <w:rFonts w:ascii="Constantia" w:eastAsia="Calibri" w:hAnsi="Constantia" w:cs="Times New Roman"/>
          <w:sz w:val="21"/>
          <w:szCs w:val="21"/>
          <w:lang w:val="en-GB"/>
        </w:rPr>
        <w:fldChar w:fldCharType="separate"/>
      </w:r>
      <w:r w:rsidR="00966E67">
        <w:rPr>
          <w:rFonts w:ascii="Constantia" w:eastAsia="Calibri" w:hAnsi="Constantia" w:cs="Times New Roman"/>
          <w:sz w:val="21"/>
          <w:szCs w:val="21"/>
          <w:lang w:val="en-GB"/>
        </w:rPr>
        <w:t>7</w:t>
      </w:r>
      <w:r w:rsidRPr="003B6D48">
        <w:rPr>
          <w:rFonts w:ascii="Constantia" w:eastAsia="Calibri" w:hAnsi="Constantia" w:cs="Times New Roman"/>
          <w:sz w:val="21"/>
          <w:szCs w:val="21"/>
          <w:lang w:val="en-GB"/>
        </w:rPr>
        <w:fldChar w:fldCharType="end"/>
      </w:r>
      <w:r w:rsidRPr="003B6D48">
        <w:rPr>
          <w:rFonts w:ascii="Constantia" w:eastAsia="Calibri" w:hAnsi="Constantia" w:cs="Times New Roman"/>
          <w:sz w:val="21"/>
          <w:szCs w:val="21"/>
          <w:lang w:val="en-GB"/>
        </w:rPr>
        <w:t xml:space="preserve"> above which could entail a recalculation of the subscription price to an amount less than the quotient value of the underlying share. </w:t>
      </w:r>
    </w:p>
    <w:p w14:paraId="5903EB6B"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NOTICES</w:t>
      </w:r>
    </w:p>
    <w:p w14:paraId="066B501A"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Notices relating to these terms and conditions shall be provided in writing to every holder of warrants and any other holder of rights who has notified the company in writing of their address.</w:t>
      </w:r>
    </w:p>
    <w:p w14:paraId="5DEC9BF5"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bookmarkStart w:id="20" w:name="B2"/>
      <w:bookmarkEnd w:id="20"/>
      <w:r w:rsidRPr="003B6D48">
        <w:rPr>
          <w:rFonts w:ascii="Constantia" w:eastAsia="Times New Roman" w:hAnsi="Constantia" w:cs="Arial"/>
          <w:b/>
          <w:bCs/>
          <w:caps/>
          <w:kern w:val="32"/>
          <w:sz w:val="21"/>
          <w:szCs w:val="21"/>
          <w:lang w:val="en-GB" w:eastAsia="sv-SE"/>
        </w:rPr>
        <w:t>AMENDMENTS TO THE TERMS AND CONDITIONS</w:t>
      </w:r>
    </w:p>
    <w:p w14:paraId="5927EDC7"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 company shall be entitled to amend these terms and conditions to the extent that legislation, court decision, or public authority decision renders necessary such amendment or where, in the company’s opinion, for practical reasons it is otherwise appropriate or necessary, and the rights of the holders are thereupon not prejudiced in any respect.</w:t>
      </w:r>
    </w:p>
    <w:p w14:paraId="6BD9DB15"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CONFIDENTIALITY</w:t>
      </w:r>
    </w:p>
    <w:p w14:paraId="1FB6B522"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company may not disclose information regarding a holder of warrants to any third party without authorisation.</w:t>
      </w:r>
    </w:p>
    <w:p w14:paraId="3F4FA09C"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Force majeure</w:t>
      </w:r>
    </w:p>
    <w:p w14:paraId="6CD1508B"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With respect to the actions incumbent on the company under these terms and conditions, liability cannot be claimed against the company for damages which are the result of a Swedish or foreign enactment of law, a Swedish or foreign governmental action, an event of war, strike, blockade, boycott, lock-out or similar circumstances. The limitation with respect to strike, blockade, boycott or lock-out shall apply even where the company is taking, or is the subject of, such a measure of conflict.</w:t>
      </w:r>
    </w:p>
    <w:p w14:paraId="350BD677"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t>The company is not liable in other cases to compensate damages which occur where the company has acted with due care. In no event shall the company be liable for damages which constitute indirect losses.</w:t>
      </w:r>
    </w:p>
    <w:p w14:paraId="222F5159" w14:textId="77777777" w:rsidR="00C578EE" w:rsidRPr="003B6D48" w:rsidRDefault="009A55EB" w:rsidP="00C578EE">
      <w:pPr>
        <w:ind w:left="851"/>
        <w:rPr>
          <w:rFonts w:ascii="Constantia" w:eastAsia="Calibri" w:hAnsi="Constantia" w:cs="Times New Roman"/>
          <w:sz w:val="21"/>
          <w:szCs w:val="21"/>
          <w:lang w:val="en-GB"/>
        </w:rPr>
      </w:pPr>
      <w:r w:rsidRPr="003B6D48">
        <w:rPr>
          <w:rFonts w:ascii="Constantia" w:eastAsia="Calibri" w:hAnsi="Constantia" w:cs="Times New Roman"/>
          <w:sz w:val="21"/>
          <w:szCs w:val="21"/>
          <w:lang w:val="en-GB"/>
        </w:rPr>
        <w:lastRenderedPageBreak/>
        <w:t xml:space="preserve">Where the company is obstructed from taking an action under these terms and conditions </w:t>
      </w:r>
      <w:proofErr w:type="gramStart"/>
      <w:r w:rsidRPr="003B6D48">
        <w:rPr>
          <w:rFonts w:ascii="Constantia" w:eastAsia="Calibri" w:hAnsi="Constantia" w:cs="Times New Roman"/>
          <w:sz w:val="21"/>
          <w:szCs w:val="21"/>
          <w:lang w:val="en-GB"/>
        </w:rPr>
        <w:t>as a result of</w:t>
      </w:r>
      <w:proofErr w:type="gramEnd"/>
      <w:r w:rsidRPr="003B6D48">
        <w:rPr>
          <w:rFonts w:ascii="Constantia" w:eastAsia="Calibri" w:hAnsi="Constantia" w:cs="Times New Roman"/>
          <w:sz w:val="21"/>
          <w:szCs w:val="21"/>
          <w:lang w:val="en-GB"/>
        </w:rPr>
        <w:t xml:space="preserve"> circumstances set out in the first paragraph, the action may be postponed until such time the obstruction has ceased. </w:t>
      </w:r>
    </w:p>
    <w:p w14:paraId="0C508D11" w14:textId="77777777" w:rsidR="00C578EE" w:rsidRPr="003B6D48" w:rsidRDefault="009A55EB" w:rsidP="00C578EE">
      <w:pPr>
        <w:keepNext/>
        <w:keepLines/>
        <w:numPr>
          <w:ilvl w:val="0"/>
          <w:numId w:val="21"/>
        </w:numPr>
        <w:spacing w:before="320" w:after="40"/>
        <w:outlineLvl w:val="0"/>
        <w:rPr>
          <w:rFonts w:ascii="Constantia" w:eastAsia="Times New Roman" w:hAnsi="Constantia" w:cs="Arial"/>
          <w:b/>
          <w:bCs/>
          <w:caps/>
          <w:kern w:val="32"/>
          <w:sz w:val="21"/>
          <w:szCs w:val="21"/>
          <w:lang w:val="en-GB" w:eastAsia="sv-SE"/>
        </w:rPr>
      </w:pPr>
      <w:r w:rsidRPr="003B6D48">
        <w:rPr>
          <w:rFonts w:ascii="Constantia" w:eastAsia="Times New Roman" w:hAnsi="Constantia" w:cs="Arial"/>
          <w:b/>
          <w:bCs/>
          <w:caps/>
          <w:kern w:val="32"/>
          <w:sz w:val="21"/>
          <w:szCs w:val="21"/>
          <w:lang w:val="en-GB" w:eastAsia="sv-SE"/>
        </w:rPr>
        <w:t>GOVERNING LAW AND JURISDICTION</w:t>
      </w:r>
    </w:p>
    <w:p w14:paraId="09406E77" w14:textId="77777777" w:rsidR="00C578EE" w:rsidRPr="003B6D48" w:rsidRDefault="009A55EB" w:rsidP="00C578EE">
      <w:pPr>
        <w:ind w:left="851"/>
        <w:rPr>
          <w:rFonts w:ascii="Constantia" w:hAnsi="Constantia"/>
          <w:sz w:val="21"/>
          <w:szCs w:val="21"/>
          <w:lang w:val="en-GB"/>
        </w:rPr>
      </w:pPr>
      <w:r w:rsidRPr="003B6D48">
        <w:rPr>
          <w:rFonts w:ascii="Constantia" w:hAnsi="Constantia"/>
          <w:sz w:val="21"/>
          <w:szCs w:val="21"/>
          <w:lang w:val="en-GB"/>
        </w:rPr>
        <w:t>These warrants and legal issues relating thereto shall be governed by Swedish law. Proceedings arising from these terms and conditions shall be settled by the general courts with Stockholm District Court as the court of first instance, or such other court which is approved in writing by the company.</w:t>
      </w:r>
    </w:p>
    <w:p w14:paraId="07DA81EF" w14:textId="77777777" w:rsidR="00C578EE" w:rsidRPr="003B6D48" w:rsidRDefault="00C578EE" w:rsidP="00C578EE">
      <w:pPr>
        <w:spacing w:after="200" w:line="276" w:lineRule="auto"/>
        <w:jc w:val="left"/>
        <w:rPr>
          <w:rFonts w:ascii="Constantia" w:eastAsia="Times New Roman" w:hAnsi="Constantia" w:cs="Times New Roman"/>
          <w:b/>
          <w:bCs/>
          <w:sz w:val="21"/>
          <w:szCs w:val="21"/>
          <w:lang w:val="en-US"/>
        </w:rPr>
      </w:pPr>
    </w:p>
    <w:sectPr w:rsidR="00C578EE" w:rsidRPr="003B6D48" w:rsidSect="00C578EE">
      <w:headerReference w:type="even" r:id="rId10"/>
      <w:headerReference w:type="default" r:id="rId11"/>
      <w:footerReference w:type="even" r:id="rId12"/>
      <w:footerReference w:type="default" r:id="rId13"/>
      <w:headerReference w:type="first" r:id="rId14"/>
      <w:footerReference w:type="first" r:id="rId15"/>
      <w:pgSz w:w="11906" w:h="16838" w:code="9"/>
      <w:pgMar w:top="1474" w:right="1701" w:bottom="1701" w:left="1701"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EBDA" w14:textId="77777777" w:rsidR="000672D1" w:rsidRDefault="000672D1">
      <w:pPr>
        <w:spacing w:after="0" w:line="240" w:lineRule="auto"/>
      </w:pPr>
      <w:r>
        <w:separator/>
      </w:r>
    </w:p>
  </w:endnote>
  <w:endnote w:type="continuationSeparator" w:id="0">
    <w:p w14:paraId="2E5D5A1A" w14:textId="77777777" w:rsidR="000672D1" w:rsidRDefault="0006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0FB0" w14:textId="77777777" w:rsidR="00605F77" w:rsidRDefault="00605F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4E95" w14:textId="77777777" w:rsidR="007D50E9" w:rsidRDefault="007D50E9" w:rsidP="00C578EE">
    <w:pPr>
      <w:pStyle w:val="Footer"/>
      <w:tabs>
        <w:tab w:val="right" w:pos="85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84F5" w14:textId="77777777" w:rsidR="00605F77" w:rsidRDefault="00605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91F76" w14:textId="77777777" w:rsidR="000672D1" w:rsidRDefault="000672D1">
      <w:pPr>
        <w:spacing w:after="0" w:line="240" w:lineRule="auto"/>
      </w:pPr>
      <w:r>
        <w:separator/>
      </w:r>
    </w:p>
  </w:footnote>
  <w:footnote w:type="continuationSeparator" w:id="0">
    <w:p w14:paraId="6E66795D" w14:textId="77777777" w:rsidR="000672D1" w:rsidRDefault="00067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0557" w14:textId="77777777" w:rsidR="00605F77" w:rsidRDefault="00605F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DB1F" w14:textId="77777777" w:rsidR="007D50E9" w:rsidRDefault="007D50E9" w:rsidP="00C578EE">
    <w:pPr>
      <w:pStyle w:val="Header"/>
      <w:tabs>
        <w:tab w:val="right" w:pos="850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AC92" w14:textId="77777777" w:rsidR="007D50E9" w:rsidRPr="007C277E" w:rsidRDefault="007D50E9" w:rsidP="00C578EE">
    <w:pPr>
      <w:pStyle w:val="Heade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FA9CF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6344B856"/>
    <w:lvl w:ilvl="0">
      <w:start w:val="1"/>
      <w:numFmt w:val="decimal"/>
      <w:lvlText w:val="%1."/>
      <w:lvlJc w:val="left"/>
      <w:pPr>
        <w:tabs>
          <w:tab w:val="num" w:pos="643"/>
        </w:tabs>
        <w:ind w:left="643" w:hanging="360"/>
      </w:pPr>
    </w:lvl>
  </w:abstractNum>
  <w:abstractNum w:abstractNumId="2" w15:restartNumberingAfterBreak="0">
    <w:nsid w:val="05ED7F72"/>
    <w:multiLevelType w:val="multilevel"/>
    <w:tmpl w:val="4D4AA20C"/>
    <w:styleLink w:val="NrPMLista"/>
    <w:lvl w:ilvl="0">
      <w:start w:val="1"/>
      <w:numFmt w:val="lowerRoman"/>
      <w:pStyle w:val="NrLista"/>
      <w:lvlText w:val="(%1)"/>
      <w:lvlJc w:val="left"/>
      <w:pPr>
        <w:ind w:left="851" w:hanging="851"/>
      </w:pPr>
      <w:rPr>
        <w:rFonts w:hint="default"/>
      </w:rPr>
    </w:lvl>
    <w:lvl w:ilvl="1">
      <w:start w:val="1"/>
      <w:numFmt w:val="lowerLetter"/>
      <w:lvlText w:val="(%2)"/>
      <w:lvlJc w:val="left"/>
      <w:pPr>
        <w:tabs>
          <w:tab w:val="num" w:pos="1418"/>
        </w:tabs>
        <w:ind w:left="1702" w:hanging="851"/>
      </w:pPr>
      <w:rPr>
        <w:rFonts w:hint="default"/>
      </w:rPr>
    </w:lvl>
    <w:lvl w:ilvl="2">
      <w:start w:val="1"/>
      <w:numFmt w:val="decimal"/>
      <w:lvlText w:val="(%3)"/>
      <w:lvlJc w:val="left"/>
      <w:pPr>
        <w:tabs>
          <w:tab w:val="num" w:pos="2269"/>
        </w:tabs>
        <w:ind w:left="2553" w:hanging="851"/>
      </w:pPr>
      <w:rPr>
        <w:rFonts w:hint="default"/>
      </w:rPr>
    </w:lvl>
    <w:lvl w:ilvl="3">
      <w:start w:val="1"/>
      <w:numFmt w:val="bullet"/>
      <w:lvlText w:val=""/>
      <w:lvlJc w:val="left"/>
      <w:pPr>
        <w:tabs>
          <w:tab w:val="num" w:pos="3120"/>
        </w:tabs>
        <w:ind w:left="3404" w:hanging="851"/>
      </w:pPr>
      <w:rPr>
        <w:rFonts w:ascii="Symbol" w:hAnsi="Symbol" w:hint="default"/>
        <w:color w:val="auto"/>
      </w:rPr>
    </w:lvl>
    <w:lvl w:ilvl="4">
      <w:start w:val="1"/>
      <w:numFmt w:val="bullet"/>
      <w:lvlText w:val="▪"/>
      <w:lvlJc w:val="left"/>
      <w:pPr>
        <w:tabs>
          <w:tab w:val="num" w:pos="3971"/>
        </w:tabs>
        <w:ind w:left="4255" w:hanging="851"/>
      </w:pPr>
      <w:rPr>
        <w:rFonts w:ascii="Georgia" w:hAnsi="Georgia" w:hint="default"/>
      </w:rPr>
    </w:lvl>
    <w:lvl w:ilvl="5">
      <w:start w:val="1"/>
      <w:numFmt w:val="lowerRoman"/>
      <w:lvlText w:val="(%6)"/>
      <w:lvlJc w:val="left"/>
      <w:pPr>
        <w:tabs>
          <w:tab w:val="num" w:pos="4822"/>
        </w:tabs>
        <w:ind w:left="5106" w:hanging="851"/>
      </w:pPr>
      <w:rPr>
        <w:rFonts w:hint="default"/>
      </w:rPr>
    </w:lvl>
    <w:lvl w:ilvl="6">
      <w:start w:val="1"/>
      <w:numFmt w:val="decimal"/>
      <w:lvlText w:val="%7."/>
      <w:lvlJc w:val="left"/>
      <w:pPr>
        <w:tabs>
          <w:tab w:val="num" w:pos="5673"/>
        </w:tabs>
        <w:ind w:left="5957" w:hanging="851"/>
      </w:pPr>
      <w:rPr>
        <w:rFonts w:hint="default"/>
      </w:rPr>
    </w:lvl>
    <w:lvl w:ilvl="7">
      <w:start w:val="1"/>
      <w:numFmt w:val="lowerLetter"/>
      <w:lvlText w:val="%8."/>
      <w:lvlJc w:val="left"/>
      <w:pPr>
        <w:tabs>
          <w:tab w:val="num" w:pos="6524"/>
        </w:tabs>
        <w:ind w:left="6808" w:hanging="851"/>
      </w:pPr>
      <w:rPr>
        <w:rFonts w:hint="default"/>
      </w:rPr>
    </w:lvl>
    <w:lvl w:ilvl="8">
      <w:start w:val="1"/>
      <w:numFmt w:val="lowerRoman"/>
      <w:lvlText w:val="%9."/>
      <w:lvlJc w:val="left"/>
      <w:pPr>
        <w:tabs>
          <w:tab w:val="num" w:pos="7375"/>
        </w:tabs>
        <w:ind w:left="7659" w:hanging="851"/>
      </w:pPr>
      <w:rPr>
        <w:rFonts w:hint="default"/>
      </w:rPr>
    </w:lvl>
  </w:abstractNum>
  <w:abstractNum w:abstractNumId="3" w15:restartNumberingAfterBreak="0">
    <w:nsid w:val="09216932"/>
    <w:multiLevelType w:val="multilevel"/>
    <w:tmpl w:val="88A6E992"/>
    <w:styleLink w:val="Bilagenumrering"/>
    <w:lvl w:ilvl="0">
      <w:start w:val="1"/>
      <w:numFmt w:val="decimal"/>
      <w:pStyle w:val="Bilagansrubrik"/>
      <w:lvlText w:val="Bilaga %1"/>
      <w:lvlJc w:val="left"/>
      <w:pPr>
        <w:ind w:left="0" w:firstLine="0"/>
      </w:pPr>
      <w:rPr>
        <w:rFonts w:hint="default"/>
      </w:rPr>
    </w:lvl>
    <w:lvl w:ilvl="1">
      <w:start w:val="1"/>
      <w:numFmt w:val="decimal"/>
      <w:pStyle w:val="BilagaRubrik1"/>
      <w:lvlText w:val="%2"/>
      <w:lvlJc w:val="left"/>
      <w:pPr>
        <w:ind w:left="851" w:hanging="851"/>
      </w:pPr>
      <w:rPr>
        <w:rFonts w:hint="default"/>
      </w:rPr>
    </w:lvl>
    <w:lvl w:ilvl="2">
      <w:start w:val="1"/>
      <w:numFmt w:val="decimal"/>
      <w:pStyle w:val="BilagaRubrik2"/>
      <w:lvlText w:val="%2.%3"/>
      <w:lvlJc w:val="left"/>
      <w:pPr>
        <w:ind w:left="851" w:hanging="851"/>
      </w:pPr>
      <w:rPr>
        <w:rFonts w:hint="default"/>
      </w:rPr>
    </w:lvl>
    <w:lvl w:ilvl="3">
      <w:start w:val="1"/>
      <w:numFmt w:val="decimal"/>
      <w:pStyle w:val="BilagaRubrik3"/>
      <w:lvlText w:val="%2.%3.%4"/>
      <w:lvlJc w:val="left"/>
      <w:pPr>
        <w:ind w:left="851" w:hanging="851"/>
      </w:pPr>
      <w:rPr>
        <w:rFonts w:hint="default"/>
      </w:rPr>
    </w:lvl>
    <w:lvl w:ilvl="4">
      <w:start w:val="1"/>
      <w:numFmt w:val="none"/>
      <w:lvlText w:val="%1.%2.%3.%4"/>
      <w:lvlJc w:val="left"/>
      <w:pPr>
        <w:ind w:left="851" w:hanging="851"/>
      </w:pPr>
      <w:rPr>
        <w:rFonts w:hint="default"/>
      </w:rPr>
    </w:lvl>
    <w:lvl w:ilvl="5">
      <w:start w:val="1"/>
      <w:numFmt w:val="lowerLetter"/>
      <w:pStyle w:val="BilagaListtyp1niv1"/>
      <w:lvlText w:val="(%6)"/>
      <w:lvlJc w:val="left"/>
      <w:pPr>
        <w:tabs>
          <w:tab w:val="num" w:pos="5670"/>
        </w:tabs>
        <w:ind w:left="1276" w:hanging="425"/>
      </w:pPr>
      <w:rPr>
        <w:rFonts w:hint="default"/>
      </w:rPr>
    </w:lvl>
    <w:lvl w:ilvl="6">
      <w:start w:val="1"/>
      <w:numFmt w:val="lowerRoman"/>
      <w:pStyle w:val="BilagaListtyp1niv2"/>
      <w:lvlText w:val="(%7)"/>
      <w:lvlJc w:val="left"/>
      <w:pPr>
        <w:tabs>
          <w:tab w:val="num" w:pos="1276"/>
        </w:tabs>
        <w:ind w:left="1701" w:hanging="425"/>
      </w:pPr>
      <w:rPr>
        <w:rFonts w:hint="default"/>
      </w:rPr>
    </w:lvl>
    <w:lvl w:ilvl="7">
      <w:start w:val="1"/>
      <w:numFmt w:val="upperLetter"/>
      <w:pStyle w:val="BilagaListtyp1niv3"/>
      <w:lvlText w:val="(%8)"/>
      <w:lvlJc w:val="left"/>
      <w:pPr>
        <w:tabs>
          <w:tab w:val="num" w:pos="1701"/>
        </w:tabs>
        <w:ind w:left="2126" w:hanging="425"/>
      </w:pPr>
      <w:rPr>
        <w:rFonts w:hint="default"/>
      </w:rPr>
    </w:lvl>
    <w:lvl w:ilvl="8">
      <w:start w:val="1"/>
      <w:numFmt w:val="decimal"/>
      <w:pStyle w:val="BilagaListtyp1niv4"/>
      <w:lvlText w:val="%9."/>
      <w:lvlJc w:val="left"/>
      <w:pPr>
        <w:ind w:left="2552" w:hanging="426"/>
      </w:pPr>
      <w:rPr>
        <w:rFonts w:hint="default"/>
      </w:rPr>
    </w:lvl>
  </w:abstractNum>
  <w:abstractNum w:abstractNumId="4" w15:restartNumberingAfterBreak="0">
    <w:nsid w:val="0AD71821"/>
    <w:multiLevelType w:val="multilevel"/>
    <w:tmpl w:val="4CEEC8D2"/>
    <w:styleLink w:val="Listtyp2"/>
    <w:lvl w:ilvl="0">
      <w:start w:val="1"/>
      <w:numFmt w:val="lowerLetter"/>
      <w:pStyle w:val="Listtyp2niv1"/>
      <w:lvlText w:val="(%1)"/>
      <w:lvlJc w:val="left"/>
      <w:pPr>
        <w:ind w:left="624" w:hanging="624"/>
      </w:pPr>
      <w:rPr>
        <w:rFonts w:hint="default"/>
      </w:rPr>
    </w:lvl>
    <w:lvl w:ilvl="1">
      <w:start w:val="1"/>
      <w:numFmt w:val="lowerRoman"/>
      <w:pStyle w:val="Listtyp2niv2"/>
      <w:lvlText w:val="(%2)"/>
      <w:lvlJc w:val="left"/>
      <w:pPr>
        <w:ind w:left="1248" w:hanging="624"/>
      </w:pPr>
      <w:rPr>
        <w:rFonts w:hint="default"/>
      </w:rPr>
    </w:lvl>
    <w:lvl w:ilvl="2">
      <w:start w:val="1"/>
      <w:numFmt w:val="upperLetter"/>
      <w:pStyle w:val="Listtyp2niv3"/>
      <w:lvlText w:val="(%3)"/>
      <w:lvlJc w:val="left"/>
      <w:pPr>
        <w:ind w:left="1872" w:hanging="624"/>
      </w:pPr>
      <w:rPr>
        <w:rFonts w:hint="default"/>
      </w:rPr>
    </w:lvl>
    <w:lvl w:ilvl="3">
      <w:start w:val="1"/>
      <w:numFmt w:val="decimal"/>
      <w:pStyle w:val="Listtyp2niv4"/>
      <w:lvlText w:val="(%4)"/>
      <w:lvlJc w:val="left"/>
      <w:pPr>
        <w:ind w:left="2496" w:hanging="624"/>
      </w:pPr>
      <w:rPr>
        <w:rFonts w:hint="default"/>
      </w:rPr>
    </w:lvl>
    <w:lvl w:ilvl="4">
      <w:start w:val="1"/>
      <w:numFmt w:val="lowerLetter"/>
      <w:lvlText w:val="(%5)"/>
      <w:lvlJc w:val="left"/>
      <w:pPr>
        <w:ind w:left="3120" w:hanging="624"/>
      </w:pPr>
      <w:rPr>
        <w:rFonts w:hint="default"/>
      </w:rPr>
    </w:lvl>
    <w:lvl w:ilvl="5">
      <w:start w:val="1"/>
      <w:numFmt w:val="lowerRoman"/>
      <w:lvlText w:val="(%6)"/>
      <w:lvlJc w:val="left"/>
      <w:pPr>
        <w:ind w:left="3744" w:hanging="624"/>
      </w:pPr>
      <w:rPr>
        <w:rFonts w:hint="default"/>
      </w:rPr>
    </w:lvl>
    <w:lvl w:ilvl="6">
      <w:start w:val="1"/>
      <w:numFmt w:val="decimal"/>
      <w:lvlText w:val="%7."/>
      <w:lvlJc w:val="left"/>
      <w:pPr>
        <w:ind w:left="4368" w:hanging="624"/>
      </w:pPr>
      <w:rPr>
        <w:rFonts w:hint="default"/>
      </w:rPr>
    </w:lvl>
    <w:lvl w:ilvl="7">
      <w:start w:val="1"/>
      <w:numFmt w:val="lowerLetter"/>
      <w:lvlText w:val="%8."/>
      <w:lvlJc w:val="left"/>
      <w:pPr>
        <w:ind w:left="4992" w:hanging="624"/>
      </w:pPr>
      <w:rPr>
        <w:rFonts w:hint="default"/>
      </w:rPr>
    </w:lvl>
    <w:lvl w:ilvl="8">
      <w:start w:val="1"/>
      <w:numFmt w:val="lowerRoman"/>
      <w:lvlText w:val="%9."/>
      <w:lvlJc w:val="left"/>
      <w:pPr>
        <w:ind w:left="5616" w:hanging="624"/>
      </w:pPr>
      <w:rPr>
        <w:rFonts w:hint="default"/>
      </w:rPr>
    </w:lvl>
  </w:abstractNum>
  <w:abstractNum w:abstractNumId="5" w15:restartNumberingAfterBreak="0">
    <w:nsid w:val="134F04CF"/>
    <w:multiLevelType w:val="multilevel"/>
    <w:tmpl w:val="A6A8E728"/>
    <w:styleLink w:val="Numreradlistanr"/>
    <w:lvl w:ilvl="0">
      <w:start w:val="1"/>
      <w:numFmt w:val="decimal"/>
      <w:pStyle w:val="ListNumber"/>
      <w:lvlText w:val="%1."/>
      <w:lvlJc w:val="left"/>
      <w:pPr>
        <w:ind w:left="851" w:hanging="851"/>
      </w:pPr>
      <w:rPr>
        <w:rFonts w:hint="default"/>
      </w:rPr>
    </w:lvl>
    <w:lvl w:ilvl="1">
      <w:start w:val="1"/>
      <w:numFmt w:val="decimal"/>
      <w:pStyle w:val="ListNumber2"/>
      <w:lvlText w:val="%2."/>
      <w:lvlJc w:val="left"/>
      <w:pPr>
        <w:ind w:left="1702" w:hanging="851"/>
      </w:pPr>
      <w:rPr>
        <w:rFonts w:hint="default"/>
      </w:rPr>
    </w:lvl>
    <w:lvl w:ilvl="2">
      <w:start w:val="1"/>
      <w:numFmt w:val="lowerLetter"/>
      <w:pStyle w:val="ListNumber3"/>
      <w:lvlText w:val="%3."/>
      <w:lvlJc w:val="left"/>
      <w:pPr>
        <w:ind w:left="2553" w:hanging="851"/>
      </w:pPr>
      <w:rPr>
        <w:rFonts w:hint="default"/>
      </w:rPr>
    </w:lvl>
    <w:lvl w:ilvl="3">
      <w:start w:val="1"/>
      <w:numFmt w:val="lowerRoman"/>
      <w:pStyle w:val="ListNumber4"/>
      <w:lvlText w:val="%4."/>
      <w:lvlJc w:val="left"/>
      <w:pPr>
        <w:ind w:left="3404" w:hanging="851"/>
      </w:pPr>
      <w:rPr>
        <w:rFonts w:hint="default"/>
      </w:rPr>
    </w:lvl>
    <w:lvl w:ilvl="4">
      <w:start w:val="1"/>
      <w:numFmt w:val="lowerLetter"/>
      <w:lvlText w:val="(%5)"/>
      <w:lvlJc w:val="left"/>
      <w:pPr>
        <w:ind w:left="4255" w:hanging="851"/>
      </w:pPr>
      <w:rPr>
        <w:rFonts w:hint="default"/>
      </w:rPr>
    </w:lvl>
    <w:lvl w:ilvl="5">
      <w:start w:val="1"/>
      <w:numFmt w:val="lowerRoman"/>
      <w:lvlText w:val="(%6)"/>
      <w:lvlJc w:val="left"/>
      <w:pPr>
        <w:ind w:left="5106"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6" w15:restartNumberingAfterBreak="0">
    <w:nsid w:val="29195ED9"/>
    <w:multiLevelType w:val="hybridMultilevel"/>
    <w:tmpl w:val="AE26771A"/>
    <w:lvl w:ilvl="0" w:tplc="417CC314">
      <w:start w:val="1"/>
      <w:numFmt w:val="lowerLetter"/>
      <w:lvlText w:val="%1."/>
      <w:lvlJc w:val="left"/>
      <w:pPr>
        <w:ind w:left="720" w:hanging="360"/>
      </w:pPr>
    </w:lvl>
    <w:lvl w:ilvl="1" w:tplc="6EC60B06" w:tentative="1">
      <w:start w:val="1"/>
      <w:numFmt w:val="lowerLetter"/>
      <w:lvlText w:val="%2."/>
      <w:lvlJc w:val="left"/>
      <w:pPr>
        <w:ind w:left="1440" w:hanging="360"/>
      </w:pPr>
    </w:lvl>
    <w:lvl w:ilvl="2" w:tplc="2152B8C4" w:tentative="1">
      <w:start w:val="1"/>
      <w:numFmt w:val="lowerRoman"/>
      <w:lvlText w:val="%3."/>
      <w:lvlJc w:val="right"/>
      <w:pPr>
        <w:ind w:left="2160" w:hanging="180"/>
      </w:pPr>
    </w:lvl>
    <w:lvl w:ilvl="3" w:tplc="BF802FFC" w:tentative="1">
      <w:start w:val="1"/>
      <w:numFmt w:val="decimal"/>
      <w:lvlText w:val="%4."/>
      <w:lvlJc w:val="left"/>
      <w:pPr>
        <w:ind w:left="2880" w:hanging="360"/>
      </w:pPr>
    </w:lvl>
    <w:lvl w:ilvl="4" w:tplc="4B66E890" w:tentative="1">
      <w:start w:val="1"/>
      <w:numFmt w:val="lowerLetter"/>
      <w:lvlText w:val="%5."/>
      <w:lvlJc w:val="left"/>
      <w:pPr>
        <w:ind w:left="3600" w:hanging="360"/>
      </w:pPr>
    </w:lvl>
    <w:lvl w:ilvl="5" w:tplc="5C685452" w:tentative="1">
      <w:start w:val="1"/>
      <w:numFmt w:val="lowerRoman"/>
      <w:lvlText w:val="%6."/>
      <w:lvlJc w:val="right"/>
      <w:pPr>
        <w:ind w:left="4320" w:hanging="180"/>
      </w:pPr>
    </w:lvl>
    <w:lvl w:ilvl="6" w:tplc="694A952E" w:tentative="1">
      <w:start w:val="1"/>
      <w:numFmt w:val="decimal"/>
      <w:lvlText w:val="%7."/>
      <w:lvlJc w:val="left"/>
      <w:pPr>
        <w:ind w:left="5040" w:hanging="360"/>
      </w:pPr>
    </w:lvl>
    <w:lvl w:ilvl="7" w:tplc="AF1AF462" w:tentative="1">
      <w:start w:val="1"/>
      <w:numFmt w:val="lowerLetter"/>
      <w:lvlText w:val="%8."/>
      <w:lvlJc w:val="left"/>
      <w:pPr>
        <w:ind w:left="5760" w:hanging="360"/>
      </w:pPr>
    </w:lvl>
    <w:lvl w:ilvl="8" w:tplc="0896B266" w:tentative="1">
      <w:start w:val="1"/>
      <w:numFmt w:val="lowerRoman"/>
      <w:lvlText w:val="%9."/>
      <w:lvlJc w:val="right"/>
      <w:pPr>
        <w:ind w:left="6480" w:hanging="180"/>
      </w:pPr>
    </w:lvl>
  </w:abstractNum>
  <w:abstractNum w:abstractNumId="7" w15:restartNumberingAfterBreak="0">
    <w:nsid w:val="2B867CFA"/>
    <w:multiLevelType w:val="hybridMultilevel"/>
    <w:tmpl w:val="7ECCFDF2"/>
    <w:lvl w:ilvl="0" w:tplc="B046160E">
      <w:start w:val="1"/>
      <w:numFmt w:val="decimal"/>
      <w:lvlText w:val="%1."/>
      <w:lvlJc w:val="left"/>
      <w:pPr>
        <w:ind w:left="1571" w:hanging="360"/>
      </w:pPr>
    </w:lvl>
    <w:lvl w:ilvl="1" w:tplc="9E2A2E64" w:tentative="1">
      <w:start w:val="1"/>
      <w:numFmt w:val="lowerLetter"/>
      <w:lvlText w:val="%2."/>
      <w:lvlJc w:val="left"/>
      <w:pPr>
        <w:ind w:left="2291" w:hanging="360"/>
      </w:pPr>
    </w:lvl>
    <w:lvl w:ilvl="2" w:tplc="F7A65944" w:tentative="1">
      <w:start w:val="1"/>
      <w:numFmt w:val="lowerRoman"/>
      <w:lvlText w:val="%3."/>
      <w:lvlJc w:val="right"/>
      <w:pPr>
        <w:ind w:left="3011" w:hanging="180"/>
      </w:pPr>
    </w:lvl>
    <w:lvl w:ilvl="3" w:tplc="174E6780" w:tentative="1">
      <w:start w:val="1"/>
      <w:numFmt w:val="decimal"/>
      <w:lvlText w:val="%4."/>
      <w:lvlJc w:val="left"/>
      <w:pPr>
        <w:ind w:left="3731" w:hanging="360"/>
      </w:pPr>
    </w:lvl>
    <w:lvl w:ilvl="4" w:tplc="3AF63A74" w:tentative="1">
      <w:start w:val="1"/>
      <w:numFmt w:val="lowerLetter"/>
      <w:lvlText w:val="%5."/>
      <w:lvlJc w:val="left"/>
      <w:pPr>
        <w:ind w:left="4451" w:hanging="360"/>
      </w:pPr>
    </w:lvl>
    <w:lvl w:ilvl="5" w:tplc="E4C85ACA" w:tentative="1">
      <w:start w:val="1"/>
      <w:numFmt w:val="lowerRoman"/>
      <w:lvlText w:val="%6."/>
      <w:lvlJc w:val="right"/>
      <w:pPr>
        <w:ind w:left="5171" w:hanging="180"/>
      </w:pPr>
    </w:lvl>
    <w:lvl w:ilvl="6" w:tplc="66FE7552" w:tentative="1">
      <w:start w:val="1"/>
      <w:numFmt w:val="decimal"/>
      <w:lvlText w:val="%7."/>
      <w:lvlJc w:val="left"/>
      <w:pPr>
        <w:ind w:left="5891" w:hanging="360"/>
      </w:pPr>
    </w:lvl>
    <w:lvl w:ilvl="7" w:tplc="662AD744" w:tentative="1">
      <w:start w:val="1"/>
      <w:numFmt w:val="lowerLetter"/>
      <w:lvlText w:val="%8."/>
      <w:lvlJc w:val="left"/>
      <w:pPr>
        <w:ind w:left="6611" w:hanging="360"/>
      </w:pPr>
    </w:lvl>
    <w:lvl w:ilvl="8" w:tplc="DB667A6E" w:tentative="1">
      <w:start w:val="1"/>
      <w:numFmt w:val="lowerRoman"/>
      <w:lvlText w:val="%9."/>
      <w:lvlJc w:val="right"/>
      <w:pPr>
        <w:ind w:left="7331" w:hanging="180"/>
      </w:pPr>
    </w:lvl>
  </w:abstractNum>
  <w:abstractNum w:abstractNumId="8" w15:restartNumberingAfterBreak="0">
    <w:nsid w:val="37BF6736"/>
    <w:multiLevelType w:val="hybridMultilevel"/>
    <w:tmpl w:val="6CA8C81E"/>
    <w:lvl w:ilvl="0" w:tplc="00481D0C">
      <w:start w:val="1"/>
      <w:numFmt w:val="decimal"/>
      <w:lvlText w:val="%1."/>
      <w:lvlJc w:val="left"/>
      <w:pPr>
        <w:ind w:left="1620" w:hanging="360"/>
      </w:pPr>
    </w:lvl>
    <w:lvl w:ilvl="1" w:tplc="C366C45E" w:tentative="1">
      <w:start w:val="1"/>
      <w:numFmt w:val="lowerLetter"/>
      <w:lvlText w:val="%2."/>
      <w:lvlJc w:val="left"/>
      <w:pPr>
        <w:ind w:left="2340" w:hanging="360"/>
      </w:pPr>
    </w:lvl>
    <w:lvl w:ilvl="2" w:tplc="F82A1C36" w:tentative="1">
      <w:start w:val="1"/>
      <w:numFmt w:val="lowerRoman"/>
      <w:lvlText w:val="%3."/>
      <w:lvlJc w:val="right"/>
      <w:pPr>
        <w:ind w:left="3060" w:hanging="180"/>
      </w:pPr>
    </w:lvl>
    <w:lvl w:ilvl="3" w:tplc="9F7859D4" w:tentative="1">
      <w:start w:val="1"/>
      <w:numFmt w:val="decimal"/>
      <w:lvlText w:val="%4."/>
      <w:lvlJc w:val="left"/>
      <w:pPr>
        <w:ind w:left="3780" w:hanging="360"/>
      </w:pPr>
    </w:lvl>
    <w:lvl w:ilvl="4" w:tplc="A2D8C44A" w:tentative="1">
      <w:start w:val="1"/>
      <w:numFmt w:val="lowerLetter"/>
      <w:lvlText w:val="%5."/>
      <w:lvlJc w:val="left"/>
      <w:pPr>
        <w:ind w:left="4500" w:hanging="360"/>
      </w:pPr>
    </w:lvl>
    <w:lvl w:ilvl="5" w:tplc="FD44B52C" w:tentative="1">
      <w:start w:val="1"/>
      <w:numFmt w:val="lowerRoman"/>
      <w:lvlText w:val="%6."/>
      <w:lvlJc w:val="right"/>
      <w:pPr>
        <w:ind w:left="5220" w:hanging="180"/>
      </w:pPr>
    </w:lvl>
    <w:lvl w:ilvl="6" w:tplc="FE3E2288" w:tentative="1">
      <w:start w:val="1"/>
      <w:numFmt w:val="decimal"/>
      <w:lvlText w:val="%7."/>
      <w:lvlJc w:val="left"/>
      <w:pPr>
        <w:ind w:left="5940" w:hanging="360"/>
      </w:pPr>
    </w:lvl>
    <w:lvl w:ilvl="7" w:tplc="44AA9E12" w:tentative="1">
      <w:start w:val="1"/>
      <w:numFmt w:val="lowerLetter"/>
      <w:lvlText w:val="%8."/>
      <w:lvlJc w:val="left"/>
      <w:pPr>
        <w:ind w:left="6660" w:hanging="360"/>
      </w:pPr>
    </w:lvl>
    <w:lvl w:ilvl="8" w:tplc="B3124312" w:tentative="1">
      <w:start w:val="1"/>
      <w:numFmt w:val="lowerRoman"/>
      <w:lvlText w:val="%9."/>
      <w:lvlJc w:val="right"/>
      <w:pPr>
        <w:ind w:left="7380" w:hanging="180"/>
      </w:pPr>
    </w:lvl>
  </w:abstractNum>
  <w:abstractNum w:abstractNumId="9" w15:restartNumberingAfterBreak="0">
    <w:nsid w:val="3BD81BAD"/>
    <w:multiLevelType w:val="multilevel"/>
    <w:tmpl w:val="A642AD56"/>
    <w:styleLink w:val="Partieslist"/>
    <w:lvl w:ilvl="0">
      <w:start w:val="1"/>
      <w:numFmt w:val="decimal"/>
      <w:pStyle w:val="Parties"/>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1F22209"/>
    <w:multiLevelType w:val="multilevel"/>
    <w:tmpl w:val="F8D2341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lvlText w:val="(%6)"/>
      <w:lvlJc w:val="left"/>
      <w:pPr>
        <w:ind w:left="851" w:hanging="851"/>
      </w:pPr>
      <w:rPr>
        <w:rFonts w:hint="default"/>
      </w:rPr>
    </w:lvl>
    <w:lvl w:ilvl="6">
      <w:start w:val="1"/>
      <w:numFmt w:val="lowerRoman"/>
      <w:lvlText w:val="(%7)"/>
      <w:lvlJc w:val="left"/>
      <w:pPr>
        <w:ind w:left="1418" w:hanging="567"/>
      </w:pPr>
      <w:rPr>
        <w:rFonts w:hint="default"/>
      </w:rPr>
    </w:lvl>
    <w:lvl w:ilvl="7">
      <w:start w:val="1"/>
      <w:numFmt w:val="upperLetter"/>
      <w:lvlText w:val="(%8)"/>
      <w:lvlJc w:val="left"/>
      <w:pPr>
        <w:ind w:left="1985" w:hanging="567"/>
      </w:pPr>
      <w:rPr>
        <w:rFonts w:hint="default"/>
      </w:rPr>
    </w:lvl>
    <w:lvl w:ilvl="8">
      <w:start w:val="1"/>
      <w:numFmt w:val="decimal"/>
      <w:lvlText w:val="(%9)"/>
      <w:lvlJc w:val="left"/>
      <w:pPr>
        <w:ind w:left="2552" w:hanging="567"/>
      </w:pPr>
      <w:rPr>
        <w:rFonts w:hint="default"/>
      </w:rPr>
    </w:lvl>
  </w:abstractNum>
  <w:abstractNum w:abstractNumId="11" w15:restartNumberingAfterBreak="0">
    <w:nsid w:val="439A2EE0"/>
    <w:multiLevelType w:val="multilevel"/>
    <w:tmpl w:val="F8D23416"/>
    <w:styleLink w:val="Numbered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lvlText w:val="(%6)"/>
      <w:lvlJc w:val="left"/>
      <w:pPr>
        <w:ind w:left="851" w:hanging="851"/>
      </w:pPr>
      <w:rPr>
        <w:rFonts w:hint="default"/>
      </w:rPr>
    </w:lvl>
    <w:lvl w:ilvl="6">
      <w:start w:val="1"/>
      <w:numFmt w:val="lowerRoman"/>
      <w:lvlText w:val="(%7)"/>
      <w:lvlJc w:val="left"/>
      <w:pPr>
        <w:ind w:left="1418" w:hanging="567"/>
      </w:pPr>
      <w:rPr>
        <w:rFonts w:hint="default"/>
      </w:rPr>
    </w:lvl>
    <w:lvl w:ilvl="7">
      <w:start w:val="1"/>
      <w:numFmt w:val="upperLetter"/>
      <w:lvlText w:val="(%8)"/>
      <w:lvlJc w:val="left"/>
      <w:pPr>
        <w:ind w:left="1985" w:hanging="567"/>
      </w:pPr>
      <w:rPr>
        <w:rFonts w:hint="default"/>
      </w:rPr>
    </w:lvl>
    <w:lvl w:ilvl="8">
      <w:start w:val="1"/>
      <w:numFmt w:val="decimal"/>
      <w:lvlText w:val="(%9)"/>
      <w:lvlJc w:val="left"/>
      <w:pPr>
        <w:ind w:left="2552" w:hanging="567"/>
      </w:pPr>
      <w:rPr>
        <w:rFonts w:hint="default"/>
      </w:rPr>
    </w:lvl>
  </w:abstractNum>
  <w:abstractNum w:abstractNumId="12" w15:restartNumberingAfterBreak="0">
    <w:nsid w:val="516F5540"/>
    <w:multiLevelType w:val="hybridMultilevel"/>
    <w:tmpl w:val="AAFE4B44"/>
    <w:lvl w:ilvl="0" w:tplc="92B47E74">
      <w:start w:val="1"/>
      <w:numFmt w:val="decimal"/>
      <w:lvlText w:val="%1"/>
      <w:lvlJc w:val="left"/>
      <w:pPr>
        <w:ind w:left="360" w:hanging="360"/>
      </w:pPr>
      <w:rPr>
        <w:rFonts w:hint="default"/>
      </w:rPr>
    </w:lvl>
    <w:lvl w:ilvl="1" w:tplc="CDFCEE6A" w:tentative="1">
      <w:start w:val="1"/>
      <w:numFmt w:val="lowerLetter"/>
      <w:lvlText w:val="%2."/>
      <w:lvlJc w:val="left"/>
      <w:pPr>
        <w:ind w:left="1080" w:hanging="360"/>
      </w:pPr>
    </w:lvl>
    <w:lvl w:ilvl="2" w:tplc="21B8FC76" w:tentative="1">
      <w:start w:val="1"/>
      <w:numFmt w:val="lowerRoman"/>
      <w:lvlText w:val="%3."/>
      <w:lvlJc w:val="right"/>
      <w:pPr>
        <w:ind w:left="1800" w:hanging="180"/>
      </w:pPr>
    </w:lvl>
    <w:lvl w:ilvl="3" w:tplc="EF285690" w:tentative="1">
      <w:start w:val="1"/>
      <w:numFmt w:val="decimal"/>
      <w:lvlText w:val="%4."/>
      <w:lvlJc w:val="left"/>
      <w:pPr>
        <w:ind w:left="2520" w:hanging="360"/>
      </w:pPr>
    </w:lvl>
    <w:lvl w:ilvl="4" w:tplc="29DA1D00" w:tentative="1">
      <w:start w:val="1"/>
      <w:numFmt w:val="lowerLetter"/>
      <w:lvlText w:val="%5."/>
      <w:lvlJc w:val="left"/>
      <w:pPr>
        <w:ind w:left="3240" w:hanging="360"/>
      </w:pPr>
    </w:lvl>
    <w:lvl w:ilvl="5" w:tplc="045693D0" w:tentative="1">
      <w:start w:val="1"/>
      <w:numFmt w:val="lowerRoman"/>
      <w:lvlText w:val="%6."/>
      <w:lvlJc w:val="right"/>
      <w:pPr>
        <w:ind w:left="3960" w:hanging="180"/>
      </w:pPr>
    </w:lvl>
    <w:lvl w:ilvl="6" w:tplc="114CFEB0" w:tentative="1">
      <w:start w:val="1"/>
      <w:numFmt w:val="decimal"/>
      <w:lvlText w:val="%7."/>
      <w:lvlJc w:val="left"/>
      <w:pPr>
        <w:ind w:left="4680" w:hanging="360"/>
      </w:pPr>
    </w:lvl>
    <w:lvl w:ilvl="7" w:tplc="6B1C8B64" w:tentative="1">
      <w:start w:val="1"/>
      <w:numFmt w:val="lowerLetter"/>
      <w:lvlText w:val="%8."/>
      <w:lvlJc w:val="left"/>
      <w:pPr>
        <w:ind w:left="5400" w:hanging="360"/>
      </w:pPr>
    </w:lvl>
    <w:lvl w:ilvl="8" w:tplc="EF0C3728" w:tentative="1">
      <w:start w:val="1"/>
      <w:numFmt w:val="lowerRoman"/>
      <w:lvlText w:val="%9."/>
      <w:lvlJc w:val="right"/>
      <w:pPr>
        <w:ind w:left="6120" w:hanging="180"/>
      </w:pPr>
    </w:lvl>
  </w:abstractNum>
  <w:abstractNum w:abstractNumId="13" w15:restartNumberingAfterBreak="0">
    <w:nsid w:val="574111D1"/>
    <w:multiLevelType w:val="multilevel"/>
    <w:tmpl w:val="A8EE531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lvlText w:val="(%6)"/>
      <w:lvlJc w:val="left"/>
      <w:pPr>
        <w:ind w:left="1276" w:hanging="425"/>
      </w:pPr>
      <w:rPr>
        <w:rFonts w:hint="default"/>
      </w:rPr>
    </w:lvl>
    <w:lvl w:ilvl="6">
      <w:start w:val="1"/>
      <w:numFmt w:val="lowerRoman"/>
      <w:lvlText w:val="(%7)"/>
      <w:lvlJc w:val="left"/>
      <w:pPr>
        <w:tabs>
          <w:tab w:val="num" w:pos="1276"/>
        </w:tabs>
        <w:ind w:left="1701" w:hanging="425"/>
      </w:pPr>
      <w:rPr>
        <w:rFonts w:hint="default"/>
      </w:rPr>
    </w:lvl>
    <w:lvl w:ilvl="7">
      <w:start w:val="1"/>
      <w:numFmt w:val="upperLetter"/>
      <w:lvlText w:val="(%8)"/>
      <w:lvlJc w:val="left"/>
      <w:pPr>
        <w:tabs>
          <w:tab w:val="num" w:pos="1871"/>
        </w:tabs>
        <w:ind w:left="2126" w:hanging="425"/>
      </w:pPr>
      <w:rPr>
        <w:rFonts w:hint="default"/>
      </w:rPr>
    </w:lvl>
    <w:lvl w:ilvl="8">
      <w:start w:val="1"/>
      <w:numFmt w:val="decimal"/>
      <w:lvlText w:val="(%9)"/>
      <w:lvlJc w:val="left"/>
      <w:pPr>
        <w:tabs>
          <w:tab w:val="num" w:pos="2495"/>
        </w:tabs>
        <w:ind w:left="2552" w:hanging="426"/>
      </w:pPr>
      <w:rPr>
        <w:rFonts w:hint="default"/>
      </w:rPr>
    </w:lvl>
  </w:abstractNum>
  <w:abstractNum w:abstractNumId="14" w15:restartNumberingAfterBreak="0">
    <w:nsid w:val="5893524A"/>
    <w:multiLevelType w:val="multilevel"/>
    <w:tmpl w:val="9AAAF054"/>
    <w:styleLink w:val="Punktlistan"/>
    <w:lvl w:ilvl="0">
      <w:start w:val="1"/>
      <w:numFmt w:val="bullet"/>
      <w:pStyle w:val="ListBullet"/>
      <w:lvlText w:val=""/>
      <w:lvlJc w:val="left"/>
      <w:pPr>
        <w:tabs>
          <w:tab w:val="num" w:pos="851"/>
        </w:tabs>
        <w:ind w:left="425" w:hanging="425"/>
      </w:pPr>
      <w:rPr>
        <w:rFonts w:ascii="Symbol" w:hAnsi="Symbol" w:hint="default"/>
        <w:color w:val="auto"/>
      </w:rPr>
    </w:lvl>
    <w:lvl w:ilvl="1">
      <w:start w:val="1"/>
      <w:numFmt w:val="bullet"/>
      <w:pStyle w:val="ListBullet2"/>
      <w:lvlText w:val=""/>
      <w:lvlJc w:val="left"/>
      <w:pPr>
        <w:tabs>
          <w:tab w:val="num" w:pos="1276"/>
        </w:tabs>
        <w:ind w:left="850" w:hanging="425"/>
      </w:pPr>
      <w:rPr>
        <w:rFonts w:ascii="Symbol" w:hAnsi="Symbol" w:hint="default"/>
      </w:rPr>
    </w:lvl>
    <w:lvl w:ilvl="2">
      <w:start w:val="1"/>
      <w:numFmt w:val="bullet"/>
      <w:pStyle w:val="ListBullet3"/>
      <w:lvlText w:val="▪"/>
      <w:lvlJc w:val="left"/>
      <w:pPr>
        <w:tabs>
          <w:tab w:val="num" w:pos="1701"/>
        </w:tabs>
        <w:ind w:left="1275" w:hanging="425"/>
      </w:pPr>
      <w:rPr>
        <w:rFonts w:ascii="Georgia" w:hAnsi="Georgia" w:hint="default"/>
        <w:color w:val="auto"/>
      </w:rPr>
    </w:lvl>
    <w:lvl w:ilvl="3">
      <w:start w:val="1"/>
      <w:numFmt w:val="bullet"/>
      <w:pStyle w:val="ListBullet4"/>
      <w:lvlText w:val=""/>
      <w:lvlJc w:val="left"/>
      <w:pPr>
        <w:tabs>
          <w:tab w:val="num" w:pos="2126"/>
        </w:tabs>
        <w:ind w:left="1700" w:hanging="425"/>
      </w:pPr>
      <w:rPr>
        <w:rFonts w:ascii="Symbol" w:hAnsi="Symbol" w:hint="default"/>
      </w:rPr>
    </w:lvl>
    <w:lvl w:ilvl="4">
      <w:start w:val="1"/>
      <w:numFmt w:val="bullet"/>
      <w:pStyle w:val="ListBullet5"/>
      <w:lvlText w:val="▪"/>
      <w:lvlJc w:val="left"/>
      <w:pPr>
        <w:tabs>
          <w:tab w:val="num" w:pos="2551"/>
        </w:tabs>
        <w:ind w:left="2125" w:hanging="425"/>
      </w:pPr>
      <w:rPr>
        <w:rFonts w:ascii="Georgia" w:hAnsi="Georgia" w:hint="default"/>
        <w:color w:val="auto"/>
      </w:rPr>
    </w:lvl>
    <w:lvl w:ilvl="5">
      <w:start w:val="1"/>
      <w:numFmt w:val="lowerRoman"/>
      <w:lvlText w:val="(%6)"/>
      <w:lvlJc w:val="left"/>
      <w:pPr>
        <w:tabs>
          <w:tab w:val="num" w:pos="2976"/>
        </w:tabs>
        <w:ind w:left="2550" w:hanging="425"/>
      </w:pPr>
      <w:rPr>
        <w:rFonts w:hint="default"/>
      </w:rPr>
    </w:lvl>
    <w:lvl w:ilvl="6">
      <w:start w:val="1"/>
      <w:numFmt w:val="decimal"/>
      <w:lvlText w:val="%7."/>
      <w:lvlJc w:val="left"/>
      <w:pPr>
        <w:tabs>
          <w:tab w:val="num" w:pos="3401"/>
        </w:tabs>
        <w:ind w:left="2975" w:hanging="425"/>
      </w:pPr>
      <w:rPr>
        <w:rFonts w:hint="default"/>
      </w:rPr>
    </w:lvl>
    <w:lvl w:ilvl="7">
      <w:start w:val="1"/>
      <w:numFmt w:val="lowerLetter"/>
      <w:lvlText w:val="%8."/>
      <w:lvlJc w:val="left"/>
      <w:pPr>
        <w:tabs>
          <w:tab w:val="num" w:pos="3826"/>
        </w:tabs>
        <w:ind w:left="3400" w:hanging="425"/>
      </w:pPr>
      <w:rPr>
        <w:rFonts w:hint="default"/>
      </w:rPr>
    </w:lvl>
    <w:lvl w:ilvl="8">
      <w:start w:val="1"/>
      <w:numFmt w:val="lowerRoman"/>
      <w:lvlText w:val="%9."/>
      <w:lvlJc w:val="left"/>
      <w:pPr>
        <w:tabs>
          <w:tab w:val="num" w:pos="4251"/>
        </w:tabs>
        <w:ind w:left="3825" w:hanging="425"/>
      </w:pPr>
      <w:rPr>
        <w:rFonts w:hint="default"/>
      </w:rPr>
    </w:lvl>
  </w:abstractNum>
  <w:abstractNum w:abstractNumId="15" w15:restartNumberingAfterBreak="0">
    <w:nsid w:val="64EE3F03"/>
    <w:multiLevelType w:val="hybridMultilevel"/>
    <w:tmpl w:val="C9846196"/>
    <w:lvl w:ilvl="0" w:tplc="D7A4651A">
      <w:start w:val="1"/>
      <w:numFmt w:val="lowerLetter"/>
      <w:lvlText w:val="(%1)"/>
      <w:lvlJc w:val="left"/>
      <w:pPr>
        <w:ind w:left="1664" w:hanging="360"/>
      </w:pPr>
      <w:rPr>
        <w:rFonts w:hint="default"/>
      </w:rPr>
    </w:lvl>
    <w:lvl w:ilvl="1" w:tplc="F9A26042" w:tentative="1">
      <w:start w:val="1"/>
      <w:numFmt w:val="lowerLetter"/>
      <w:lvlText w:val="%2."/>
      <w:lvlJc w:val="left"/>
      <w:pPr>
        <w:ind w:left="2384" w:hanging="360"/>
      </w:pPr>
    </w:lvl>
    <w:lvl w:ilvl="2" w:tplc="2CE6F7A6" w:tentative="1">
      <w:start w:val="1"/>
      <w:numFmt w:val="lowerRoman"/>
      <w:lvlText w:val="%3."/>
      <w:lvlJc w:val="right"/>
      <w:pPr>
        <w:ind w:left="3104" w:hanging="180"/>
      </w:pPr>
    </w:lvl>
    <w:lvl w:ilvl="3" w:tplc="31FA9CC2" w:tentative="1">
      <w:start w:val="1"/>
      <w:numFmt w:val="decimal"/>
      <w:lvlText w:val="%4."/>
      <w:lvlJc w:val="left"/>
      <w:pPr>
        <w:ind w:left="3824" w:hanging="360"/>
      </w:pPr>
    </w:lvl>
    <w:lvl w:ilvl="4" w:tplc="6B96DA32" w:tentative="1">
      <w:start w:val="1"/>
      <w:numFmt w:val="lowerLetter"/>
      <w:lvlText w:val="%5."/>
      <w:lvlJc w:val="left"/>
      <w:pPr>
        <w:ind w:left="4544" w:hanging="360"/>
      </w:pPr>
    </w:lvl>
    <w:lvl w:ilvl="5" w:tplc="6A70D5F6" w:tentative="1">
      <w:start w:val="1"/>
      <w:numFmt w:val="lowerRoman"/>
      <w:lvlText w:val="%6."/>
      <w:lvlJc w:val="right"/>
      <w:pPr>
        <w:ind w:left="5264" w:hanging="180"/>
      </w:pPr>
    </w:lvl>
    <w:lvl w:ilvl="6" w:tplc="BC165092" w:tentative="1">
      <w:start w:val="1"/>
      <w:numFmt w:val="decimal"/>
      <w:lvlText w:val="%7."/>
      <w:lvlJc w:val="left"/>
      <w:pPr>
        <w:ind w:left="5984" w:hanging="360"/>
      </w:pPr>
    </w:lvl>
    <w:lvl w:ilvl="7" w:tplc="557E304A" w:tentative="1">
      <w:start w:val="1"/>
      <w:numFmt w:val="lowerLetter"/>
      <w:lvlText w:val="%8."/>
      <w:lvlJc w:val="left"/>
      <w:pPr>
        <w:ind w:left="6704" w:hanging="360"/>
      </w:pPr>
    </w:lvl>
    <w:lvl w:ilvl="8" w:tplc="EFB0EE52" w:tentative="1">
      <w:start w:val="1"/>
      <w:numFmt w:val="lowerRoman"/>
      <w:lvlText w:val="%9."/>
      <w:lvlJc w:val="right"/>
      <w:pPr>
        <w:ind w:left="7424" w:hanging="180"/>
      </w:pPr>
    </w:lvl>
  </w:abstractNum>
  <w:abstractNum w:abstractNumId="16" w15:restartNumberingAfterBreak="0">
    <w:nsid w:val="681006A3"/>
    <w:multiLevelType w:val="multilevel"/>
    <w:tmpl w:val="CC705D20"/>
    <w:styleLink w:val="Rubriknumreri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lowerLetter"/>
      <w:pStyle w:val="Listtyp1niv1"/>
      <w:lvlText w:val="(%6)"/>
      <w:lvlJc w:val="left"/>
      <w:pPr>
        <w:ind w:left="425" w:hanging="425"/>
      </w:pPr>
      <w:rPr>
        <w:rFonts w:hint="default"/>
      </w:rPr>
    </w:lvl>
    <w:lvl w:ilvl="6">
      <w:start w:val="1"/>
      <w:numFmt w:val="lowerRoman"/>
      <w:pStyle w:val="Listtyp1niv2"/>
      <w:lvlText w:val="(%7)"/>
      <w:lvlJc w:val="left"/>
      <w:pPr>
        <w:tabs>
          <w:tab w:val="num" w:pos="1276"/>
        </w:tabs>
        <w:ind w:left="851" w:hanging="426"/>
      </w:pPr>
      <w:rPr>
        <w:rFonts w:hint="default"/>
      </w:rPr>
    </w:lvl>
    <w:lvl w:ilvl="7">
      <w:start w:val="1"/>
      <w:numFmt w:val="upperLetter"/>
      <w:pStyle w:val="Listtyp1niv3"/>
      <w:lvlText w:val="(%8)"/>
      <w:lvlJc w:val="left"/>
      <w:pPr>
        <w:tabs>
          <w:tab w:val="num" w:pos="1871"/>
        </w:tabs>
        <w:ind w:left="1276" w:hanging="425"/>
      </w:pPr>
      <w:rPr>
        <w:rFonts w:hint="default"/>
      </w:rPr>
    </w:lvl>
    <w:lvl w:ilvl="8">
      <w:start w:val="1"/>
      <w:numFmt w:val="decimal"/>
      <w:pStyle w:val="Listtyp1niv4"/>
      <w:lvlText w:val="(%9)"/>
      <w:lvlJc w:val="left"/>
      <w:pPr>
        <w:tabs>
          <w:tab w:val="num" w:pos="2495"/>
        </w:tabs>
        <w:ind w:left="1701" w:hanging="425"/>
      </w:pPr>
      <w:rPr>
        <w:rFonts w:hint="default"/>
      </w:rPr>
    </w:lvl>
  </w:abstractNum>
  <w:abstractNum w:abstractNumId="17" w15:restartNumberingAfterBreak="0">
    <w:nsid w:val="7665657A"/>
    <w:multiLevelType w:val="hybridMultilevel"/>
    <w:tmpl w:val="30C41E68"/>
    <w:lvl w:ilvl="0" w:tplc="D94A831A">
      <w:start w:val="1"/>
      <w:numFmt w:val="lowerLetter"/>
      <w:lvlText w:val="(%1)"/>
      <w:lvlJc w:val="left"/>
      <w:pPr>
        <w:ind w:left="720" w:hanging="360"/>
      </w:pPr>
      <w:rPr>
        <w:rFonts w:hint="default"/>
      </w:rPr>
    </w:lvl>
    <w:lvl w:ilvl="1" w:tplc="2654A6F2" w:tentative="1">
      <w:start w:val="1"/>
      <w:numFmt w:val="lowerLetter"/>
      <w:lvlText w:val="%2."/>
      <w:lvlJc w:val="left"/>
      <w:pPr>
        <w:ind w:left="1440" w:hanging="360"/>
      </w:pPr>
    </w:lvl>
    <w:lvl w:ilvl="2" w:tplc="419A045C" w:tentative="1">
      <w:start w:val="1"/>
      <w:numFmt w:val="lowerRoman"/>
      <w:lvlText w:val="%3."/>
      <w:lvlJc w:val="right"/>
      <w:pPr>
        <w:ind w:left="2160" w:hanging="180"/>
      </w:pPr>
    </w:lvl>
    <w:lvl w:ilvl="3" w:tplc="9CD28A4A" w:tentative="1">
      <w:start w:val="1"/>
      <w:numFmt w:val="decimal"/>
      <w:lvlText w:val="%4."/>
      <w:lvlJc w:val="left"/>
      <w:pPr>
        <w:ind w:left="2880" w:hanging="360"/>
      </w:pPr>
    </w:lvl>
    <w:lvl w:ilvl="4" w:tplc="B5DEBAC6" w:tentative="1">
      <w:start w:val="1"/>
      <w:numFmt w:val="lowerLetter"/>
      <w:lvlText w:val="%5."/>
      <w:lvlJc w:val="left"/>
      <w:pPr>
        <w:ind w:left="3600" w:hanging="360"/>
      </w:pPr>
    </w:lvl>
    <w:lvl w:ilvl="5" w:tplc="CE286122" w:tentative="1">
      <w:start w:val="1"/>
      <w:numFmt w:val="lowerRoman"/>
      <w:lvlText w:val="%6."/>
      <w:lvlJc w:val="right"/>
      <w:pPr>
        <w:ind w:left="4320" w:hanging="180"/>
      </w:pPr>
    </w:lvl>
    <w:lvl w:ilvl="6" w:tplc="C1EAD0DA" w:tentative="1">
      <w:start w:val="1"/>
      <w:numFmt w:val="decimal"/>
      <w:lvlText w:val="%7."/>
      <w:lvlJc w:val="left"/>
      <w:pPr>
        <w:ind w:left="5040" w:hanging="360"/>
      </w:pPr>
    </w:lvl>
    <w:lvl w:ilvl="7" w:tplc="C7D8557C" w:tentative="1">
      <w:start w:val="1"/>
      <w:numFmt w:val="lowerLetter"/>
      <w:lvlText w:val="%8."/>
      <w:lvlJc w:val="left"/>
      <w:pPr>
        <w:ind w:left="5760" w:hanging="360"/>
      </w:pPr>
    </w:lvl>
    <w:lvl w:ilvl="8" w:tplc="F990997A" w:tentative="1">
      <w:start w:val="1"/>
      <w:numFmt w:val="lowerRoman"/>
      <w:lvlText w:val="%9."/>
      <w:lvlJc w:val="right"/>
      <w:pPr>
        <w:ind w:left="6480" w:hanging="180"/>
      </w:pPr>
    </w:lvl>
  </w:abstractNum>
  <w:abstractNum w:abstractNumId="18" w15:restartNumberingAfterBreak="0">
    <w:nsid w:val="7CD250EC"/>
    <w:multiLevelType w:val="multilevel"/>
    <w:tmpl w:val="12AC9CA8"/>
    <w:styleLink w:val="Whereaslist"/>
    <w:lvl w:ilvl="0">
      <w:start w:val="1"/>
      <w:numFmt w:val="upperLetter"/>
      <w:pStyle w:val="Whereas"/>
      <w:lvlText w:val="%1"/>
      <w:lvlJc w:val="left"/>
      <w:pPr>
        <w:ind w:left="851" w:hanging="851"/>
      </w:pPr>
      <w:rPr>
        <w:rFonts w:hint="default"/>
      </w:rPr>
    </w:lvl>
    <w:lvl w:ilvl="1">
      <w:start w:val="1"/>
      <w:numFmt w:val="lowerLetter"/>
      <w:lvlText w:val="%2)"/>
      <w:lvlJc w:val="left"/>
      <w:pPr>
        <w:ind w:left="1208" w:hanging="851"/>
      </w:pPr>
      <w:rPr>
        <w:rFonts w:hint="default"/>
      </w:rPr>
    </w:lvl>
    <w:lvl w:ilvl="2">
      <w:start w:val="1"/>
      <w:numFmt w:val="lowerRoman"/>
      <w:lvlText w:val="%3)"/>
      <w:lvlJc w:val="left"/>
      <w:pPr>
        <w:ind w:left="1565" w:hanging="851"/>
      </w:pPr>
      <w:rPr>
        <w:rFonts w:hint="default"/>
      </w:rPr>
    </w:lvl>
    <w:lvl w:ilvl="3">
      <w:start w:val="1"/>
      <w:numFmt w:val="decimal"/>
      <w:lvlText w:val="(%4)"/>
      <w:lvlJc w:val="left"/>
      <w:pPr>
        <w:ind w:left="1922" w:hanging="851"/>
      </w:pPr>
      <w:rPr>
        <w:rFonts w:hint="default"/>
      </w:rPr>
    </w:lvl>
    <w:lvl w:ilvl="4">
      <w:start w:val="1"/>
      <w:numFmt w:val="lowerLetter"/>
      <w:lvlText w:val="(%5)"/>
      <w:lvlJc w:val="left"/>
      <w:pPr>
        <w:ind w:left="2279" w:hanging="851"/>
      </w:pPr>
      <w:rPr>
        <w:rFonts w:hint="default"/>
      </w:rPr>
    </w:lvl>
    <w:lvl w:ilvl="5">
      <w:start w:val="1"/>
      <w:numFmt w:val="lowerRoman"/>
      <w:lvlText w:val="(%6)"/>
      <w:lvlJc w:val="left"/>
      <w:pPr>
        <w:ind w:left="2636" w:hanging="851"/>
      </w:pPr>
      <w:rPr>
        <w:rFonts w:hint="default"/>
      </w:rPr>
    </w:lvl>
    <w:lvl w:ilvl="6">
      <w:start w:val="1"/>
      <w:numFmt w:val="decimal"/>
      <w:lvlText w:val="%7."/>
      <w:lvlJc w:val="left"/>
      <w:pPr>
        <w:ind w:left="2993" w:hanging="851"/>
      </w:pPr>
      <w:rPr>
        <w:rFonts w:hint="default"/>
      </w:rPr>
    </w:lvl>
    <w:lvl w:ilvl="7">
      <w:start w:val="1"/>
      <w:numFmt w:val="lowerLetter"/>
      <w:lvlText w:val="%8."/>
      <w:lvlJc w:val="left"/>
      <w:pPr>
        <w:ind w:left="3350" w:hanging="851"/>
      </w:pPr>
      <w:rPr>
        <w:rFonts w:hint="default"/>
      </w:rPr>
    </w:lvl>
    <w:lvl w:ilvl="8">
      <w:start w:val="1"/>
      <w:numFmt w:val="lowerRoman"/>
      <w:lvlText w:val="%9."/>
      <w:lvlJc w:val="left"/>
      <w:pPr>
        <w:ind w:left="3707" w:hanging="851"/>
      </w:pPr>
      <w:rPr>
        <w:rFonts w:hint="default"/>
      </w:rPr>
    </w:lvl>
  </w:abstractNum>
  <w:num w:numId="1">
    <w:abstractNumId w:val="3"/>
  </w:num>
  <w:num w:numId="2">
    <w:abstractNumId w:val="4"/>
  </w:num>
  <w:num w:numId="3">
    <w:abstractNumId w:val="4"/>
  </w:num>
  <w:num w:numId="4">
    <w:abstractNumId w:val="2"/>
  </w:num>
  <w:num w:numId="5">
    <w:abstractNumId w:val="0"/>
  </w:num>
  <w:num w:numId="6">
    <w:abstractNumId w:val="5"/>
  </w:num>
  <w:num w:numId="7">
    <w:abstractNumId w:val="9"/>
  </w:num>
  <w:num w:numId="8">
    <w:abstractNumId w:val="14"/>
  </w:num>
  <w:num w:numId="9">
    <w:abstractNumId w:val="16"/>
  </w:num>
  <w:num w:numId="10">
    <w:abstractNumId w:val="18"/>
  </w:num>
  <w:num w:numId="11">
    <w:abstractNumId w:val="14"/>
  </w:num>
  <w:num w:numId="12">
    <w:abstractNumId w:val="16"/>
  </w:num>
  <w:num w:numId="13">
    <w:abstractNumId w:val="15"/>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3"/>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6"/>
  </w:num>
  <w:num w:numId="25">
    <w:abstractNumId w:val="8"/>
  </w:num>
  <w:num w:numId="26">
    <w:abstractNumId w:val="7"/>
  </w:num>
  <w:num w:numId="27">
    <w:abstractNumId w:val="11"/>
  </w:num>
  <w:num w:numId="28">
    <w:abstractNumId w:val="10"/>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lowerLetter"/>
        <w:lvlText w:val="(%6)"/>
        <w:lvlJc w:val="left"/>
        <w:pPr>
          <w:ind w:left="851" w:hanging="851"/>
        </w:pPr>
        <w:rPr>
          <w:rFonts w:hint="default"/>
        </w:rPr>
      </w:lvl>
    </w:lvlOverride>
    <w:lvlOverride w:ilvl="6">
      <w:lvl w:ilvl="6">
        <w:start w:val="1"/>
        <w:numFmt w:val="lowerRoman"/>
        <w:lvlText w:val="(%7)"/>
        <w:lvlJc w:val="left"/>
        <w:pPr>
          <w:ind w:left="1418" w:hanging="567"/>
        </w:pPr>
        <w:rPr>
          <w:rFonts w:hint="default"/>
        </w:rPr>
      </w:lvl>
    </w:lvlOverride>
    <w:lvlOverride w:ilvl="7">
      <w:lvl w:ilvl="7">
        <w:start w:val="1"/>
        <w:numFmt w:val="upperLetter"/>
        <w:lvlText w:val="(%8)"/>
        <w:lvlJc w:val="left"/>
        <w:pPr>
          <w:ind w:left="1985" w:hanging="567"/>
        </w:pPr>
        <w:rPr>
          <w:rFonts w:hint="default"/>
        </w:rPr>
      </w:lvl>
    </w:lvlOverride>
    <w:lvlOverride w:ilvl="8">
      <w:lvl w:ilvl="8">
        <w:start w:val="1"/>
        <w:numFmt w:val="decimal"/>
        <w:lvlText w:val="(%9)"/>
        <w:lvlJc w:val="left"/>
        <w:pPr>
          <w:ind w:left="2552" w:hanging="567"/>
        </w:pPr>
        <w:rPr>
          <w:rFonts w:hint="default"/>
        </w:rPr>
      </w:lvl>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203"/>
    <w:rsid w:val="000055BB"/>
    <w:rsid w:val="00014412"/>
    <w:rsid w:val="00014534"/>
    <w:rsid w:val="000167E2"/>
    <w:rsid w:val="000207F4"/>
    <w:rsid w:val="00032EE7"/>
    <w:rsid w:val="00034334"/>
    <w:rsid w:val="000350E5"/>
    <w:rsid w:val="00036E5B"/>
    <w:rsid w:val="00044216"/>
    <w:rsid w:val="00052DA6"/>
    <w:rsid w:val="00053C5A"/>
    <w:rsid w:val="00053E96"/>
    <w:rsid w:val="00061755"/>
    <w:rsid w:val="00065893"/>
    <w:rsid w:val="00065F2E"/>
    <w:rsid w:val="000672D1"/>
    <w:rsid w:val="00076749"/>
    <w:rsid w:val="00076F2E"/>
    <w:rsid w:val="00090FC8"/>
    <w:rsid w:val="000928DC"/>
    <w:rsid w:val="0009485A"/>
    <w:rsid w:val="00095425"/>
    <w:rsid w:val="000A2486"/>
    <w:rsid w:val="000A3BDF"/>
    <w:rsid w:val="000B2C96"/>
    <w:rsid w:val="000C1B8A"/>
    <w:rsid w:val="000C1CF2"/>
    <w:rsid w:val="000C263E"/>
    <w:rsid w:val="000C6149"/>
    <w:rsid w:val="000D0F73"/>
    <w:rsid w:val="000D3624"/>
    <w:rsid w:val="000E3202"/>
    <w:rsid w:val="000F13ED"/>
    <w:rsid w:val="000F216D"/>
    <w:rsid w:val="00101E2E"/>
    <w:rsid w:val="00101FD7"/>
    <w:rsid w:val="00113682"/>
    <w:rsid w:val="00116156"/>
    <w:rsid w:val="00124F25"/>
    <w:rsid w:val="00131090"/>
    <w:rsid w:val="00151BAA"/>
    <w:rsid w:val="001548D5"/>
    <w:rsid w:val="00156812"/>
    <w:rsid w:val="00172866"/>
    <w:rsid w:val="001A0764"/>
    <w:rsid w:val="001A0A46"/>
    <w:rsid w:val="001A7E2C"/>
    <w:rsid w:val="001B018E"/>
    <w:rsid w:val="001E1198"/>
    <w:rsid w:val="001F65A3"/>
    <w:rsid w:val="001F7FB1"/>
    <w:rsid w:val="00213977"/>
    <w:rsid w:val="00221666"/>
    <w:rsid w:val="00224649"/>
    <w:rsid w:val="0024089D"/>
    <w:rsid w:val="0025457C"/>
    <w:rsid w:val="00273526"/>
    <w:rsid w:val="00276199"/>
    <w:rsid w:val="0027748A"/>
    <w:rsid w:val="00281C62"/>
    <w:rsid w:val="00294E18"/>
    <w:rsid w:val="00295F86"/>
    <w:rsid w:val="002A1A1E"/>
    <w:rsid w:val="002B031A"/>
    <w:rsid w:val="002C4F83"/>
    <w:rsid w:val="002C7901"/>
    <w:rsid w:val="002D7CE8"/>
    <w:rsid w:val="002E5872"/>
    <w:rsid w:val="00304203"/>
    <w:rsid w:val="0031563C"/>
    <w:rsid w:val="0031589E"/>
    <w:rsid w:val="00333036"/>
    <w:rsid w:val="003346F1"/>
    <w:rsid w:val="00344854"/>
    <w:rsid w:val="00344A69"/>
    <w:rsid w:val="00345230"/>
    <w:rsid w:val="003516AD"/>
    <w:rsid w:val="00352444"/>
    <w:rsid w:val="00352924"/>
    <w:rsid w:val="00357924"/>
    <w:rsid w:val="00362989"/>
    <w:rsid w:val="003647E1"/>
    <w:rsid w:val="00364F4A"/>
    <w:rsid w:val="00383FE9"/>
    <w:rsid w:val="00384BB1"/>
    <w:rsid w:val="00386FE6"/>
    <w:rsid w:val="003913D3"/>
    <w:rsid w:val="003935D8"/>
    <w:rsid w:val="00394890"/>
    <w:rsid w:val="003A7FB3"/>
    <w:rsid w:val="003B0B4D"/>
    <w:rsid w:val="003B0B8E"/>
    <w:rsid w:val="003B44B2"/>
    <w:rsid w:val="003B6D48"/>
    <w:rsid w:val="003B72CB"/>
    <w:rsid w:val="003C2BC0"/>
    <w:rsid w:val="003D5603"/>
    <w:rsid w:val="003D5C32"/>
    <w:rsid w:val="003F7AB3"/>
    <w:rsid w:val="004106EA"/>
    <w:rsid w:val="00410EB8"/>
    <w:rsid w:val="00433202"/>
    <w:rsid w:val="00455F29"/>
    <w:rsid w:val="00456F06"/>
    <w:rsid w:val="004644E7"/>
    <w:rsid w:val="00472813"/>
    <w:rsid w:val="00472D7F"/>
    <w:rsid w:val="00484C6E"/>
    <w:rsid w:val="004852D9"/>
    <w:rsid w:val="00494437"/>
    <w:rsid w:val="00494AEF"/>
    <w:rsid w:val="004A15CE"/>
    <w:rsid w:val="004C1C7A"/>
    <w:rsid w:val="004C2A92"/>
    <w:rsid w:val="004E2449"/>
    <w:rsid w:val="004E41F1"/>
    <w:rsid w:val="004F12DF"/>
    <w:rsid w:val="004F27C6"/>
    <w:rsid w:val="004F71CA"/>
    <w:rsid w:val="004F7211"/>
    <w:rsid w:val="00504D4C"/>
    <w:rsid w:val="00510E71"/>
    <w:rsid w:val="00524216"/>
    <w:rsid w:val="00526C4B"/>
    <w:rsid w:val="005276FF"/>
    <w:rsid w:val="0053435D"/>
    <w:rsid w:val="005578D2"/>
    <w:rsid w:val="00570123"/>
    <w:rsid w:val="00574026"/>
    <w:rsid w:val="0059126A"/>
    <w:rsid w:val="00592166"/>
    <w:rsid w:val="005B3A38"/>
    <w:rsid w:val="005C1609"/>
    <w:rsid w:val="005D1439"/>
    <w:rsid w:val="005D29D1"/>
    <w:rsid w:val="005E0952"/>
    <w:rsid w:val="005E12A6"/>
    <w:rsid w:val="005F4697"/>
    <w:rsid w:val="005F6AE5"/>
    <w:rsid w:val="00605F77"/>
    <w:rsid w:val="0061083B"/>
    <w:rsid w:val="006326E6"/>
    <w:rsid w:val="00636C36"/>
    <w:rsid w:val="0064155E"/>
    <w:rsid w:val="0064322B"/>
    <w:rsid w:val="00646ACA"/>
    <w:rsid w:val="00657D88"/>
    <w:rsid w:val="00671B62"/>
    <w:rsid w:val="00673944"/>
    <w:rsid w:val="0068161A"/>
    <w:rsid w:val="00682FF0"/>
    <w:rsid w:val="00687881"/>
    <w:rsid w:val="00691A28"/>
    <w:rsid w:val="006A245C"/>
    <w:rsid w:val="006A4928"/>
    <w:rsid w:val="006B0156"/>
    <w:rsid w:val="006B38C9"/>
    <w:rsid w:val="006B4BCF"/>
    <w:rsid w:val="006E26F7"/>
    <w:rsid w:val="006E40A4"/>
    <w:rsid w:val="006E4A69"/>
    <w:rsid w:val="006F2228"/>
    <w:rsid w:val="006F6001"/>
    <w:rsid w:val="00701D99"/>
    <w:rsid w:val="007074DB"/>
    <w:rsid w:val="0071307F"/>
    <w:rsid w:val="007166AB"/>
    <w:rsid w:val="00732EFF"/>
    <w:rsid w:val="00743CE4"/>
    <w:rsid w:val="00752971"/>
    <w:rsid w:val="00771D29"/>
    <w:rsid w:val="007730F9"/>
    <w:rsid w:val="007820A1"/>
    <w:rsid w:val="00787599"/>
    <w:rsid w:val="00794042"/>
    <w:rsid w:val="00794A95"/>
    <w:rsid w:val="007975B6"/>
    <w:rsid w:val="007A3E3C"/>
    <w:rsid w:val="007A5396"/>
    <w:rsid w:val="007B212A"/>
    <w:rsid w:val="007B2D35"/>
    <w:rsid w:val="007B6A30"/>
    <w:rsid w:val="007B7D48"/>
    <w:rsid w:val="007C277E"/>
    <w:rsid w:val="007C3D49"/>
    <w:rsid w:val="007D50E9"/>
    <w:rsid w:val="007E5307"/>
    <w:rsid w:val="007F368F"/>
    <w:rsid w:val="0083744A"/>
    <w:rsid w:val="008513FE"/>
    <w:rsid w:val="00860D31"/>
    <w:rsid w:val="008619A9"/>
    <w:rsid w:val="008627ED"/>
    <w:rsid w:val="00865509"/>
    <w:rsid w:val="0086671A"/>
    <w:rsid w:val="008745BA"/>
    <w:rsid w:val="00883976"/>
    <w:rsid w:val="008858C3"/>
    <w:rsid w:val="00885D15"/>
    <w:rsid w:val="008C322A"/>
    <w:rsid w:val="008C4D4B"/>
    <w:rsid w:val="008C76D0"/>
    <w:rsid w:val="008D3018"/>
    <w:rsid w:val="008E2C59"/>
    <w:rsid w:val="008E2E6B"/>
    <w:rsid w:val="008F0C46"/>
    <w:rsid w:val="008F4568"/>
    <w:rsid w:val="00915067"/>
    <w:rsid w:val="00922DA5"/>
    <w:rsid w:val="00927363"/>
    <w:rsid w:val="00936ECE"/>
    <w:rsid w:val="00942670"/>
    <w:rsid w:val="009444C4"/>
    <w:rsid w:val="009509D3"/>
    <w:rsid w:val="0095183E"/>
    <w:rsid w:val="00952532"/>
    <w:rsid w:val="00955626"/>
    <w:rsid w:val="00966E67"/>
    <w:rsid w:val="009708A9"/>
    <w:rsid w:val="00970C0B"/>
    <w:rsid w:val="009739CA"/>
    <w:rsid w:val="00993C5E"/>
    <w:rsid w:val="00994594"/>
    <w:rsid w:val="009A1FF4"/>
    <w:rsid w:val="009A3DF3"/>
    <w:rsid w:val="009A55EB"/>
    <w:rsid w:val="009B29D2"/>
    <w:rsid w:val="009C212B"/>
    <w:rsid w:val="009C3418"/>
    <w:rsid w:val="009C5040"/>
    <w:rsid w:val="009C75F4"/>
    <w:rsid w:val="009D3519"/>
    <w:rsid w:val="009D490F"/>
    <w:rsid w:val="009D785F"/>
    <w:rsid w:val="009E1581"/>
    <w:rsid w:val="009F7CFF"/>
    <w:rsid w:val="00A10FE2"/>
    <w:rsid w:val="00A238C6"/>
    <w:rsid w:val="00A25CDF"/>
    <w:rsid w:val="00A47D45"/>
    <w:rsid w:val="00A504B1"/>
    <w:rsid w:val="00A5342F"/>
    <w:rsid w:val="00A605C0"/>
    <w:rsid w:val="00A65A3A"/>
    <w:rsid w:val="00A6767B"/>
    <w:rsid w:val="00A8019C"/>
    <w:rsid w:val="00A816D1"/>
    <w:rsid w:val="00AA1659"/>
    <w:rsid w:val="00AA5CCF"/>
    <w:rsid w:val="00AB198A"/>
    <w:rsid w:val="00AC0FCE"/>
    <w:rsid w:val="00AC278C"/>
    <w:rsid w:val="00AD6AE1"/>
    <w:rsid w:val="00AE43FC"/>
    <w:rsid w:val="00AF734E"/>
    <w:rsid w:val="00B10B0E"/>
    <w:rsid w:val="00B16E89"/>
    <w:rsid w:val="00B3546E"/>
    <w:rsid w:val="00B6342B"/>
    <w:rsid w:val="00B73051"/>
    <w:rsid w:val="00B834A6"/>
    <w:rsid w:val="00B84322"/>
    <w:rsid w:val="00B8571F"/>
    <w:rsid w:val="00B874F2"/>
    <w:rsid w:val="00B9082B"/>
    <w:rsid w:val="00BA78A9"/>
    <w:rsid w:val="00BC6E85"/>
    <w:rsid w:val="00BD1481"/>
    <w:rsid w:val="00BD78B8"/>
    <w:rsid w:val="00BF5286"/>
    <w:rsid w:val="00BF6B4A"/>
    <w:rsid w:val="00C01A13"/>
    <w:rsid w:val="00C10B29"/>
    <w:rsid w:val="00C11803"/>
    <w:rsid w:val="00C24668"/>
    <w:rsid w:val="00C27934"/>
    <w:rsid w:val="00C41FC2"/>
    <w:rsid w:val="00C52FDE"/>
    <w:rsid w:val="00C5316F"/>
    <w:rsid w:val="00C5583D"/>
    <w:rsid w:val="00C578EE"/>
    <w:rsid w:val="00C6533C"/>
    <w:rsid w:val="00C80D62"/>
    <w:rsid w:val="00C81799"/>
    <w:rsid w:val="00C829FC"/>
    <w:rsid w:val="00C84299"/>
    <w:rsid w:val="00C93954"/>
    <w:rsid w:val="00CA2BB2"/>
    <w:rsid w:val="00CA32FD"/>
    <w:rsid w:val="00CA474C"/>
    <w:rsid w:val="00CA7902"/>
    <w:rsid w:val="00CB419F"/>
    <w:rsid w:val="00CC13A7"/>
    <w:rsid w:val="00CC4021"/>
    <w:rsid w:val="00CD146A"/>
    <w:rsid w:val="00CD5104"/>
    <w:rsid w:val="00CE29EE"/>
    <w:rsid w:val="00CE7949"/>
    <w:rsid w:val="00CF1E9C"/>
    <w:rsid w:val="00CF2889"/>
    <w:rsid w:val="00CF76CC"/>
    <w:rsid w:val="00D00F8E"/>
    <w:rsid w:val="00D02EE4"/>
    <w:rsid w:val="00D10E68"/>
    <w:rsid w:val="00D44457"/>
    <w:rsid w:val="00D45597"/>
    <w:rsid w:val="00D46909"/>
    <w:rsid w:val="00D520B0"/>
    <w:rsid w:val="00D5218A"/>
    <w:rsid w:val="00D522A5"/>
    <w:rsid w:val="00D647E2"/>
    <w:rsid w:val="00D75002"/>
    <w:rsid w:val="00D75B70"/>
    <w:rsid w:val="00D9428D"/>
    <w:rsid w:val="00DA3547"/>
    <w:rsid w:val="00DA5D4E"/>
    <w:rsid w:val="00DB4D37"/>
    <w:rsid w:val="00DD2209"/>
    <w:rsid w:val="00DD449B"/>
    <w:rsid w:val="00DE6D6B"/>
    <w:rsid w:val="00E0069D"/>
    <w:rsid w:val="00E143AC"/>
    <w:rsid w:val="00E303CA"/>
    <w:rsid w:val="00E42264"/>
    <w:rsid w:val="00E521D5"/>
    <w:rsid w:val="00E601CB"/>
    <w:rsid w:val="00E72E21"/>
    <w:rsid w:val="00E867E1"/>
    <w:rsid w:val="00EC4F6D"/>
    <w:rsid w:val="00EC6CC8"/>
    <w:rsid w:val="00ED4FAE"/>
    <w:rsid w:val="00ED5E0F"/>
    <w:rsid w:val="00ED6EE3"/>
    <w:rsid w:val="00EF4CD3"/>
    <w:rsid w:val="00EF62EA"/>
    <w:rsid w:val="00F020C6"/>
    <w:rsid w:val="00F24388"/>
    <w:rsid w:val="00F3020D"/>
    <w:rsid w:val="00F35377"/>
    <w:rsid w:val="00F3693B"/>
    <w:rsid w:val="00F4489C"/>
    <w:rsid w:val="00F57D3E"/>
    <w:rsid w:val="00F61DFA"/>
    <w:rsid w:val="00F62704"/>
    <w:rsid w:val="00F66D3C"/>
    <w:rsid w:val="00F7193A"/>
    <w:rsid w:val="00F85DE7"/>
    <w:rsid w:val="00F8666D"/>
    <w:rsid w:val="00F91C98"/>
    <w:rsid w:val="00F9301B"/>
    <w:rsid w:val="00F94B58"/>
    <w:rsid w:val="00FB0A52"/>
    <w:rsid w:val="00FB762A"/>
    <w:rsid w:val="00FC02E4"/>
    <w:rsid w:val="00FD26B3"/>
    <w:rsid w:val="00FD4D36"/>
    <w:rsid w:val="00FE3885"/>
    <w:rsid w:val="00FE6AF7"/>
    <w:rsid w:val="00FF30A1"/>
    <w:rsid w:val="00FF4739"/>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2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qFormat="1"/>
    <w:lsdException w:name="heading 3" w:semiHidden="1" w:uiPriority="3" w:qFormat="1"/>
    <w:lsdException w:name="heading 4" w:semiHidden="1" w:uiPriority="3" w:qFormat="1"/>
    <w:lsdException w:name="heading 5" w:semiHidden="1" w:uiPriority="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98" w:unhideWhenUsed="1"/>
    <w:lsdException w:name="annotation text" w:semiHidden="1" w:unhideWhenUsed="1"/>
    <w:lsdException w:name="header" w:semiHidden="1" w:uiPriority="33" w:unhideWhenUsed="1"/>
    <w:lsdException w:name="footer" w:semiHidden="1" w:uiPriority="3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33"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8" w:unhideWhenUsed="1" w:qFormat="1"/>
    <w:lsdException w:name="List Number" w:semiHidden="1" w:uiPriority="19" w:qFormat="1"/>
    <w:lsdException w:name="List 2" w:semiHidden="1" w:unhideWhenUsed="1"/>
    <w:lsdException w:name="List 3" w:semiHidden="1" w:unhideWhenUsed="1"/>
    <w:lsdException w:name="List 4" w:semiHidden="1"/>
    <w:lsdException w:name="List 5" w:semiHidden="1"/>
    <w:lsdException w:name="List Bullet 2" w:semiHidden="1" w:uiPriority="18" w:unhideWhenUsed="1"/>
    <w:lsdException w:name="List Bullet 3" w:semiHidden="1" w:uiPriority="18" w:unhideWhenUsed="1"/>
    <w:lsdException w:name="List Bullet 4" w:semiHidden="1" w:uiPriority="49" w:unhideWhenUsed="1"/>
    <w:lsdException w:name="List Bullet 5" w:semiHidden="1" w:uiPriority="49" w:unhideWhenUsed="1"/>
    <w:lsdException w:name="List Number 2" w:semiHidden="1" w:uiPriority="19" w:unhideWhenUsed="1"/>
    <w:lsdException w:name="List Number 3" w:semiHidden="1" w:uiPriority="19" w:unhideWhenUsed="1"/>
    <w:lsdException w:name="List Number 4" w:semiHidden="1" w:uiPriority="49" w:unhideWhenUsed="1"/>
    <w:lsdException w:name="List Number 5" w:semiHidden="1" w:unhideWhenUsed="1"/>
    <w:lsdException w:name="Title" w:uiPriority="39" w:qFormat="1"/>
    <w:lsdException w:name="Closing" w:semiHidden="1" w:unhideWhenUsed="1"/>
    <w:lsdException w:name="Signature" w:semiHidden="1" w:uiPriority="33"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atentStyles>
  <w:style w:type="paragraph" w:default="1" w:styleId="Normal">
    <w:name w:val="Normal"/>
    <w:qFormat/>
    <w:rsid w:val="00A93797"/>
    <w:pPr>
      <w:spacing w:after="160" w:line="260" w:lineRule="atLeast"/>
      <w:jc w:val="both"/>
    </w:pPr>
  </w:style>
  <w:style w:type="paragraph" w:styleId="Heading1">
    <w:name w:val="heading 1"/>
    <w:basedOn w:val="Normal"/>
    <w:next w:val="Normal"/>
    <w:link w:val="Heading1Char"/>
    <w:uiPriority w:val="3"/>
    <w:qFormat/>
    <w:rsid w:val="007C5D03"/>
    <w:pPr>
      <w:keepNext/>
      <w:keepLines/>
      <w:spacing w:before="320" w:after="40"/>
      <w:jc w:val="left"/>
      <w:outlineLvl w:val="0"/>
    </w:pPr>
    <w:rPr>
      <w:rFonts w:ascii="Arial Narrow" w:eastAsiaTheme="majorEastAsia" w:hAnsi="Arial Narrow" w:cstheme="majorBidi"/>
      <w:b/>
      <w:bCs/>
      <w:sz w:val="26"/>
      <w:szCs w:val="28"/>
    </w:rPr>
  </w:style>
  <w:style w:type="paragraph" w:styleId="Heading2">
    <w:name w:val="heading 2"/>
    <w:basedOn w:val="Normal"/>
    <w:next w:val="Normal"/>
    <w:link w:val="Heading2Char"/>
    <w:uiPriority w:val="3"/>
    <w:qFormat/>
    <w:rsid w:val="007C5D03"/>
    <w:pPr>
      <w:keepNext/>
      <w:keepLines/>
      <w:spacing w:before="240" w:after="40"/>
      <w:jc w:val="left"/>
      <w:outlineLvl w:val="1"/>
    </w:pPr>
    <w:rPr>
      <w:rFonts w:ascii="Arial Narrow" w:eastAsiaTheme="majorEastAsia" w:hAnsi="Arial Narrow" w:cstheme="majorBidi"/>
      <w:b/>
      <w:bCs/>
      <w:szCs w:val="26"/>
    </w:rPr>
  </w:style>
  <w:style w:type="paragraph" w:styleId="Heading3">
    <w:name w:val="heading 3"/>
    <w:basedOn w:val="Normal"/>
    <w:next w:val="Normal"/>
    <w:link w:val="Heading3Char"/>
    <w:uiPriority w:val="3"/>
    <w:qFormat/>
    <w:rsid w:val="007C5D03"/>
    <w:pPr>
      <w:keepNext/>
      <w:keepLines/>
      <w:spacing w:before="240" w:after="40"/>
      <w:jc w:val="left"/>
      <w:outlineLvl w:val="2"/>
    </w:pPr>
    <w:rPr>
      <w:rFonts w:ascii="Arial Narrow" w:eastAsiaTheme="majorEastAsia" w:hAnsi="Arial Narrow" w:cstheme="majorBidi"/>
      <w:bCs/>
    </w:rPr>
  </w:style>
  <w:style w:type="paragraph" w:styleId="Heading4">
    <w:name w:val="heading 4"/>
    <w:basedOn w:val="Normal"/>
    <w:next w:val="Normal"/>
    <w:link w:val="Heading4Char"/>
    <w:uiPriority w:val="3"/>
    <w:qFormat/>
    <w:rsid w:val="007C5D03"/>
    <w:pPr>
      <w:keepNext/>
      <w:keepLines/>
      <w:spacing w:before="240" w:after="40"/>
      <w:jc w:val="left"/>
      <w:outlineLvl w:val="3"/>
    </w:pPr>
    <w:rPr>
      <w:rFonts w:ascii="Arial Narrow" w:eastAsiaTheme="majorEastAsia" w:hAnsi="Arial Narrow" w:cstheme="majorBidi"/>
      <w:bCs/>
      <w:i/>
      <w:iCs/>
    </w:rPr>
  </w:style>
  <w:style w:type="paragraph" w:styleId="Heading5">
    <w:name w:val="heading 5"/>
    <w:basedOn w:val="Normal"/>
    <w:next w:val="NormalIndent"/>
    <w:link w:val="Heading5Char"/>
    <w:uiPriority w:val="4"/>
    <w:qFormat/>
    <w:rsid w:val="00F72739"/>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F72739"/>
    <w:pPr>
      <w:keepNext/>
      <w:keepLines/>
      <w:spacing w:before="200" w:after="0"/>
      <w:outlineLvl w:val="5"/>
    </w:pPr>
    <w:rPr>
      <w:rFonts w:asciiTheme="majorHAnsi" w:eastAsiaTheme="majorEastAsia" w:hAnsiTheme="majorHAnsi" w:cstheme="majorBidi"/>
      <w:i/>
      <w:iCs/>
      <w:color w:val="0A2130" w:themeColor="accent1" w:themeShade="7F"/>
    </w:rPr>
  </w:style>
  <w:style w:type="paragraph" w:styleId="Heading7">
    <w:name w:val="heading 7"/>
    <w:basedOn w:val="Normal"/>
    <w:next w:val="Normal"/>
    <w:link w:val="Heading7Char"/>
    <w:uiPriority w:val="9"/>
    <w:semiHidden/>
    <w:unhideWhenUsed/>
    <w:qFormat/>
    <w:rsid w:val="00F7273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27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27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F72739"/>
    <w:pPr>
      <w:framePr w:w="7938" w:h="1984" w:hRule="exact" w:hSpace="141" w:wrap="auto" w:hAnchor="page" w:xAlign="center" w:yAlign="bottom"/>
      <w:spacing w:after="0"/>
      <w:ind w:left="2880"/>
    </w:pPr>
    <w:rPr>
      <w:rFonts w:asciiTheme="majorHAnsi" w:eastAsiaTheme="majorEastAsia" w:hAnsiTheme="majorHAnsi" w:cstheme="majorBidi"/>
      <w:szCs w:val="24"/>
    </w:rPr>
  </w:style>
  <w:style w:type="paragraph" w:customStyle="1" w:styleId="NoteHeading1">
    <w:name w:val="Note Heading1"/>
    <w:basedOn w:val="Normal"/>
    <w:next w:val="Normal"/>
    <w:link w:val="NoteHeadingChar"/>
    <w:uiPriority w:val="99"/>
    <w:semiHidden/>
    <w:unhideWhenUsed/>
    <w:rsid w:val="00F72739"/>
    <w:pPr>
      <w:spacing w:after="0"/>
    </w:pPr>
  </w:style>
  <w:style w:type="character" w:customStyle="1" w:styleId="NoteHeadingChar">
    <w:name w:val="Note Heading Char"/>
    <w:basedOn w:val="DefaultParagraphFont"/>
    <w:link w:val="NoteHeading1"/>
    <w:uiPriority w:val="99"/>
    <w:semiHidden/>
    <w:rsid w:val="00F72739"/>
  </w:style>
  <w:style w:type="character" w:styleId="FollowedHyperlink">
    <w:name w:val="FollowedHyperlink"/>
    <w:basedOn w:val="DefaultParagraphFont"/>
    <w:uiPriority w:val="99"/>
    <w:semiHidden/>
    <w:unhideWhenUsed/>
    <w:rsid w:val="00F72739"/>
    <w:rPr>
      <w:color w:val="800080" w:themeColor="followedHyperlink"/>
      <w:u w:val="single"/>
      <w:lang w:val="sv-SE"/>
    </w:rPr>
  </w:style>
  <w:style w:type="paragraph" w:styleId="Closing">
    <w:name w:val="Closing"/>
    <w:basedOn w:val="Normal"/>
    <w:link w:val="ClosingChar"/>
    <w:uiPriority w:val="99"/>
    <w:semiHidden/>
    <w:unhideWhenUsed/>
    <w:rsid w:val="00F72739"/>
    <w:pPr>
      <w:spacing w:after="0"/>
      <w:ind w:left="4252"/>
    </w:pPr>
  </w:style>
  <w:style w:type="character" w:customStyle="1" w:styleId="ClosingChar">
    <w:name w:val="Closing Char"/>
    <w:basedOn w:val="DefaultParagraphFont"/>
    <w:link w:val="Closing"/>
    <w:uiPriority w:val="99"/>
    <w:semiHidden/>
    <w:rsid w:val="00F72739"/>
  </w:style>
  <w:style w:type="paragraph" w:styleId="EnvelopeReturn">
    <w:name w:val="envelope return"/>
    <w:basedOn w:val="Normal"/>
    <w:uiPriority w:val="99"/>
    <w:semiHidden/>
    <w:unhideWhenUsed/>
    <w:rsid w:val="00F72739"/>
    <w:pPr>
      <w:spacing w:after="0"/>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72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739"/>
    <w:rPr>
      <w:rFonts w:ascii="Tahoma" w:hAnsi="Tahoma" w:cs="Tahoma"/>
      <w:sz w:val="16"/>
      <w:szCs w:val="16"/>
    </w:rPr>
  </w:style>
  <w:style w:type="paragraph" w:styleId="Caption">
    <w:name w:val="caption"/>
    <w:basedOn w:val="Normal"/>
    <w:next w:val="Normal"/>
    <w:uiPriority w:val="35"/>
    <w:semiHidden/>
    <w:unhideWhenUsed/>
    <w:qFormat/>
    <w:rsid w:val="00F72739"/>
    <w:rPr>
      <w:b/>
      <w:bCs/>
      <w:color w:val="144361" w:themeColor="accent1"/>
      <w:sz w:val="18"/>
      <w:szCs w:val="18"/>
    </w:rPr>
  </w:style>
  <w:style w:type="character" w:styleId="Emphasis">
    <w:name w:val="Emphasis"/>
    <w:basedOn w:val="DefaultParagraphFont"/>
    <w:uiPriority w:val="20"/>
    <w:semiHidden/>
    <w:qFormat/>
    <w:rsid w:val="00F72739"/>
    <w:rPr>
      <w:i/>
      <w:iCs/>
      <w:lang w:val="sv-SE"/>
    </w:rPr>
  </w:style>
  <w:style w:type="character" w:styleId="BookTitle">
    <w:name w:val="Book Title"/>
    <w:basedOn w:val="DefaultParagraphFont"/>
    <w:uiPriority w:val="33"/>
    <w:semiHidden/>
    <w:qFormat/>
    <w:rsid w:val="00F72739"/>
    <w:rPr>
      <w:b/>
      <w:bCs/>
      <w:smallCaps/>
      <w:spacing w:val="5"/>
      <w:lang w:val="sv-SE"/>
    </w:rPr>
  </w:style>
  <w:style w:type="paragraph" w:styleId="BodyText">
    <w:name w:val="Body Text"/>
    <w:basedOn w:val="Normal"/>
    <w:link w:val="BodyTextChar"/>
    <w:uiPriority w:val="99"/>
    <w:semiHidden/>
    <w:unhideWhenUsed/>
    <w:rsid w:val="00F72739"/>
    <w:pPr>
      <w:spacing w:after="120"/>
    </w:pPr>
  </w:style>
  <w:style w:type="character" w:customStyle="1" w:styleId="BodyTextChar">
    <w:name w:val="Body Text Char"/>
    <w:basedOn w:val="DefaultParagraphFont"/>
    <w:link w:val="BodyText"/>
    <w:uiPriority w:val="99"/>
    <w:semiHidden/>
    <w:rsid w:val="00F72739"/>
  </w:style>
  <w:style w:type="paragraph" w:styleId="BodyText2">
    <w:name w:val="Body Text 2"/>
    <w:basedOn w:val="Normal"/>
    <w:link w:val="BodyText2Char"/>
    <w:uiPriority w:val="99"/>
    <w:semiHidden/>
    <w:unhideWhenUsed/>
    <w:rsid w:val="00F72739"/>
    <w:pPr>
      <w:spacing w:after="120" w:line="480" w:lineRule="auto"/>
    </w:pPr>
  </w:style>
  <w:style w:type="character" w:customStyle="1" w:styleId="BodyText2Char">
    <w:name w:val="Body Text 2 Char"/>
    <w:basedOn w:val="DefaultParagraphFont"/>
    <w:link w:val="BodyText2"/>
    <w:uiPriority w:val="99"/>
    <w:semiHidden/>
    <w:rsid w:val="00F72739"/>
  </w:style>
  <w:style w:type="paragraph" w:styleId="BodyText3">
    <w:name w:val="Body Text 3"/>
    <w:basedOn w:val="Normal"/>
    <w:link w:val="BodyText3Char"/>
    <w:uiPriority w:val="99"/>
    <w:semiHidden/>
    <w:unhideWhenUsed/>
    <w:rsid w:val="00F72739"/>
    <w:pPr>
      <w:spacing w:after="120"/>
    </w:pPr>
    <w:rPr>
      <w:sz w:val="16"/>
      <w:szCs w:val="16"/>
    </w:rPr>
  </w:style>
  <w:style w:type="character" w:customStyle="1" w:styleId="BodyText3Char">
    <w:name w:val="Body Text 3 Char"/>
    <w:basedOn w:val="DefaultParagraphFont"/>
    <w:link w:val="BodyText3"/>
    <w:uiPriority w:val="99"/>
    <w:semiHidden/>
    <w:rsid w:val="00F72739"/>
    <w:rPr>
      <w:sz w:val="16"/>
      <w:szCs w:val="16"/>
    </w:rPr>
  </w:style>
  <w:style w:type="paragraph" w:styleId="BodyTextFirstIndent">
    <w:name w:val="Body Text First Indent"/>
    <w:basedOn w:val="BodyText"/>
    <w:link w:val="BodyTextFirstIndentChar"/>
    <w:uiPriority w:val="99"/>
    <w:semiHidden/>
    <w:unhideWhenUsed/>
    <w:rsid w:val="00F72739"/>
    <w:pPr>
      <w:spacing w:after="200"/>
      <w:ind w:firstLine="360"/>
    </w:pPr>
  </w:style>
  <w:style w:type="character" w:customStyle="1" w:styleId="BodyTextFirstIndentChar">
    <w:name w:val="Body Text First Indent Char"/>
    <w:basedOn w:val="BodyTextChar"/>
    <w:link w:val="BodyTextFirstIndent"/>
    <w:uiPriority w:val="99"/>
    <w:semiHidden/>
    <w:rsid w:val="00F72739"/>
  </w:style>
  <w:style w:type="paragraph" w:styleId="BodyTextIndent">
    <w:name w:val="Body Text Indent"/>
    <w:basedOn w:val="Normal"/>
    <w:link w:val="BodyTextIndentChar"/>
    <w:uiPriority w:val="99"/>
    <w:semiHidden/>
    <w:unhideWhenUsed/>
    <w:rsid w:val="00F72739"/>
    <w:pPr>
      <w:spacing w:after="120"/>
      <w:ind w:left="283"/>
    </w:pPr>
  </w:style>
  <w:style w:type="character" w:customStyle="1" w:styleId="BodyTextIndentChar">
    <w:name w:val="Body Text Indent Char"/>
    <w:basedOn w:val="DefaultParagraphFont"/>
    <w:link w:val="BodyTextIndent"/>
    <w:uiPriority w:val="99"/>
    <w:semiHidden/>
    <w:rsid w:val="00F72739"/>
  </w:style>
  <w:style w:type="paragraph" w:styleId="BodyTextFirstIndent2">
    <w:name w:val="Body Text First Indent 2"/>
    <w:basedOn w:val="BodyTextIndent"/>
    <w:link w:val="BodyTextFirstIndent2Char"/>
    <w:uiPriority w:val="99"/>
    <w:semiHidden/>
    <w:unhideWhenUsed/>
    <w:rsid w:val="00F7273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F72739"/>
  </w:style>
  <w:style w:type="paragraph" w:styleId="BodyTextIndent2">
    <w:name w:val="Body Text Indent 2"/>
    <w:basedOn w:val="Normal"/>
    <w:link w:val="BodyTextIndent2Char"/>
    <w:uiPriority w:val="99"/>
    <w:semiHidden/>
    <w:unhideWhenUsed/>
    <w:rsid w:val="00F72739"/>
    <w:pPr>
      <w:spacing w:after="120" w:line="480" w:lineRule="auto"/>
      <w:ind w:left="283"/>
    </w:pPr>
  </w:style>
  <w:style w:type="character" w:customStyle="1" w:styleId="BodyTextIndent2Char">
    <w:name w:val="Body Text Indent 2 Char"/>
    <w:basedOn w:val="DefaultParagraphFont"/>
    <w:link w:val="BodyTextIndent2"/>
    <w:uiPriority w:val="99"/>
    <w:semiHidden/>
    <w:rsid w:val="00F72739"/>
  </w:style>
  <w:style w:type="paragraph" w:styleId="BodyTextIndent3">
    <w:name w:val="Body Text Indent 3"/>
    <w:basedOn w:val="Normal"/>
    <w:link w:val="BodyTextIndent3Char"/>
    <w:uiPriority w:val="99"/>
    <w:semiHidden/>
    <w:unhideWhenUsed/>
    <w:rsid w:val="00F7273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2739"/>
    <w:rPr>
      <w:sz w:val="16"/>
      <w:szCs w:val="16"/>
    </w:rPr>
  </w:style>
  <w:style w:type="paragraph" w:styleId="Quote">
    <w:name w:val="Quote"/>
    <w:basedOn w:val="Normal"/>
    <w:next w:val="Normal"/>
    <w:link w:val="QuoteChar"/>
    <w:uiPriority w:val="29"/>
    <w:semiHidden/>
    <w:qFormat/>
    <w:rsid w:val="00F72739"/>
    <w:rPr>
      <w:i/>
      <w:iCs/>
      <w:color w:val="000000" w:themeColor="text1"/>
    </w:rPr>
  </w:style>
  <w:style w:type="character" w:customStyle="1" w:styleId="QuoteChar">
    <w:name w:val="Quote Char"/>
    <w:basedOn w:val="DefaultParagraphFont"/>
    <w:link w:val="Quote"/>
    <w:uiPriority w:val="29"/>
    <w:semiHidden/>
    <w:rsid w:val="00F72739"/>
    <w:rPr>
      <w:i/>
      <w:iCs/>
      <w:color w:val="000000" w:themeColor="text1"/>
    </w:rPr>
  </w:style>
  <w:style w:type="paragraph" w:styleId="TableofAuthorities">
    <w:name w:val="table of authorities"/>
    <w:basedOn w:val="Normal"/>
    <w:next w:val="Normal"/>
    <w:uiPriority w:val="99"/>
    <w:semiHidden/>
    <w:unhideWhenUsed/>
    <w:rsid w:val="00F72739"/>
    <w:pPr>
      <w:spacing w:after="0"/>
      <w:ind w:left="220" w:hanging="220"/>
    </w:pPr>
  </w:style>
  <w:style w:type="paragraph" w:styleId="TOAHeading">
    <w:name w:val="toa heading"/>
    <w:basedOn w:val="Normal"/>
    <w:next w:val="Normal"/>
    <w:uiPriority w:val="99"/>
    <w:semiHidden/>
    <w:unhideWhenUsed/>
    <w:rsid w:val="00F72739"/>
    <w:pPr>
      <w:spacing w:before="120"/>
    </w:pPr>
    <w:rPr>
      <w:rFonts w:asciiTheme="majorHAnsi" w:eastAsiaTheme="majorEastAsia" w:hAnsiTheme="majorHAnsi" w:cstheme="majorBidi"/>
      <w:b/>
      <w:bCs/>
      <w:szCs w:val="24"/>
    </w:rPr>
  </w:style>
  <w:style w:type="paragraph" w:styleId="Date">
    <w:name w:val="Date"/>
    <w:basedOn w:val="Normal"/>
    <w:next w:val="Normal"/>
    <w:link w:val="DateChar"/>
    <w:uiPriority w:val="99"/>
    <w:semiHidden/>
    <w:rsid w:val="00F72739"/>
  </w:style>
  <w:style w:type="character" w:customStyle="1" w:styleId="DateChar">
    <w:name w:val="Date Char"/>
    <w:basedOn w:val="DefaultParagraphFont"/>
    <w:link w:val="Date"/>
    <w:uiPriority w:val="99"/>
    <w:semiHidden/>
    <w:rsid w:val="00F72739"/>
  </w:style>
  <w:style w:type="character" w:styleId="SubtleEmphasis">
    <w:name w:val="Subtle Emphasis"/>
    <w:basedOn w:val="DefaultParagraphFont"/>
    <w:uiPriority w:val="19"/>
    <w:semiHidden/>
    <w:qFormat/>
    <w:rsid w:val="00F72739"/>
    <w:rPr>
      <w:i/>
      <w:iCs/>
      <w:color w:val="808080" w:themeColor="text1" w:themeTint="7F"/>
      <w:lang w:val="sv-SE"/>
    </w:rPr>
  </w:style>
  <w:style w:type="character" w:styleId="SubtleReference">
    <w:name w:val="Subtle Reference"/>
    <w:basedOn w:val="DefaultParagraphFont"/>
    <w:uiPriority w:val="31"/>
    <w:semiHidden/>
    <w:qFormat/>
    <w:rsid w:val="00F72739"/>
    <w:rPr>
      <w:smallCaps/>
      <w:color w:val="428FC2" w:themeColor="accent2"/>
      <w:u w:val="single"/>
      <w:lang w:val="sv-SE"/>
    </w:rPr>
  </w:style>
  <w:style w:type="paragraph" w:styleId="DocumentMap">
    <w:name w:val="Document Map"/>
    <w:basedOn w:val="Normal"/>
    <w:link w:val="DocumentMapChar"/>
    <w:uiPriority w:val="99"/>
    <w:semiHidden/>
    <w:unhideWhenUsed/>
    <w:rsid w:val="00F72739"/>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72739"/>
    <w:rPr>
      <w:rFonts w:ascii="Tahoma" w:hAnsi="Tahoma" w:cs="Tahoma"/>
      <w:sz w:val="16"/>
      <w:szCs w:val="16"/>
    </w:rPr>
  </w:style>
  <w:style w:type="paragraph" w:styleId="E-mailSignature">
    <w:name w:val="E-mail Signature"/>
    <w:basedOn w:val="Normal"/>
    <w:link w:val="E-mailSignatureChar"/>
    <w:uiPriority w:val="99"/>
    <w:semiHidden/>
    <w:unhideWhenUsed/>
    <w:rsid w:val="00F72739"/>
    <w:pPr>
      <w:spacing w:after="0"/>
    </w:pPr>
  </w:style>
  <w:style w:type="character" w:customStyle="1" w:styleId="E-mailSignatureChar">
    <w:name w:val="E-mail Signature Char"/>
    <w:basedOn w:val="DefaultParagraphFont"/>
    <w:link w:val="E-mailSignature"/>
    <w:uiPriority w:val="99"/>
    <w:semiHidden/>
    <w:rsid w:val="00F72739"/>
  </w:style>
  <w:style w:type="paragraph" w:styleId="TableofFigures">
    <w:name w:val="table of figures"/>
    <w:basedOn w:val="Normal"/>
    <w:next w:val="Normal"/>
    <w:uiPriority w:val="99"/>
    <w:semiHidden/>
    <w:rsid w:val="00F72739"/>
    <w:pPr>
      <w:spacing w:after="0"/>
    </w:pPr>
  </w:style>
  <w:style w:type="character" w:styleId="FootnoteReference">
    <w:name w:val="footnote reference"/>
    <w:basedOn w:val="DefaultParagraphFont"/>
    <w:uiPriority w:val="98"/>
    <w:rsid w:val="00F72739"/>
    <w:rPr>
      <w:vertAlign w:val="superscript"/>
      <w:lang w:val="sv-SE"/>
    </w:rPr>
  </w:style>
  <w:style w:type="paragraph" w:styleId="FootnoteText">
    <w:name w:val="footnote text"/>
    <w:basedOn w:val="Normal"/>
    <w:link w:val="FootnoteTextChar"/>
    <w:uiPriority w:val="98"/>
    <w:rsid w:val="00F72739"/>
    <w:pPr>
      <w:spacing w:after="0"/>
    </w:pPr>
    <w:rPr>
      <w:sz w:val="20"/>
      <w:szCs w:val="20"/>
    </w:rPr>
  </w:style>
  <w:style w:type="character" w:customStyle="1" w:styleId="FootnoteTextChar">
    <w:name w:val="Footnote Text Char"/>
    <w:basedOn w:val="DefaultParagraphFont"/>
    <w:link w:val="FootnoteText"/>
    <w:uiPriority w:val="98"/>
    <w:rsid w:val="00F72739"/>
    <w:rPr>
      <w:sz w:val="20"/>
      <w:szCs w:val="20"/>
    </w:rPr>
  </w:style>
  <w:style w:type="paragraph" w:styleId="HTMLAddress">
    <w:name w:val="HTML Address"/>
    <w:basedOn w:val="Normal"/>
    <w:link w:val="HTMLAddressChar"/>
    <w:uiPriority w:val="99"/>
    <w:semiHidden/>
    <w:unhideWhenUsed/>
    <w:rsid w:val="00F72739"/>
    <w:pPr>
      <w:spacing w:after="0"/>
    </w:pPr>
    <w:rPr>
      <w:i/>
      <w:iCs/>
    </w:rPr>
  </w:style>
  <w:style w:type="character" w:customStyle="1" w:styleId="HTMLAddressChar">
    <w:name w:val="HTML Address Char"/>
    <w:basedOn w:val="DefaultParagraphFont"/>
    <w:link w:val="HTMLAddress"/>
    <w:uiPriority w:val="99"/>
    <w:semiHidden/>
    <w:rsid w:val="00F72739"/>
    <w:rPr>
      <w:i/>
      <w:iCs/>
    </w:rPr>
  </w:style>
  <w:style w:type="character" w:styleId="HTMLAcronym">
    <w:name w:val="HTML Acronym"/>
    <w:basedOn w:val="DefaultParagraphFont"/>
    <w:uiPriority w:val="99"/>
    <w:semiHidden/>
    <w:unhideWhenUsed/>
    <w:rsid w:val="00F72739"/>
    <w:rPr>
      <w:lang w:val="sv-SE"/>
    </w:rPr>
  </w:style>
  <w:style w:type="character" w:styleId="HTMLCite">
    <w:name w:val="HTML Cite"/>
    <w:basedOn w:val="DefaultParagraphFont"/>
    <w:uiPriority w:val="99"/>
    <w:semiHidden/>
    <w:unhideWhenUsed/>
    <w:rsid w:val="00F72739"/>
    <w:rPr>
      <w:i/>
      <w:iCs/>
      <w:lang w:val="sv-SE"/>
    </w:rPr>
  </w:style>
  <w:style w:type="character" w:styleId="HTMLDefinition">
    <w:name w:val="HTML Definition"/>
    <w:basedOn w:val="DefaultParagraphFont"/>
    <w:uiPriority w:val="99"/>
    <w:semiHidden/>
    <w:unhideWhenUsed/>
    <w:rsid w:val="00F72739"/>
    <w:rPr>
      <w:i/>
      <w:iCs/>
      <w:lang w:val="sv-SE"/>
    </w:rPr>
  </w:style>
  <w:style w:type="character" w:styleId="HTMLSample">
    <w:name w:val="HTML Sample"/>
    <w:basedOn w:val="DefaultParagraphFont"/>
    <w:uiPriority w:val="99"/>
    <w:semiHidden/>
    <w:unhideWhenUsed/>
    <w:rsid w:val="00F72739"/>
    <w:rPr>
      <w:rFonts w:ascii="Consolas" w:hAnsi="Consolas"/>
      <w:sz w:val="24"/>
      <w:szCs w:val="24"/>
      <w:lang w:val="sv-SE"/>
    </w:rPr>
  </w:style>
  <w:style w:type="paragraph" w:styleId="HTMLPreformatted">
    <w:name w:val="HTML Preformatted"/>
    <w:basedOn w:val="Normal"/>
    <w:link w:val="HTMLPreformattedChar"/>
    <w:uiPriority w:val="99"/>
    <w:semiHidden/>
    <w:unhideWhenUsed/>
    <w:rsid w:val="00F7273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2739"/>
    <w:rPr>
      <w:rFonts w:ascii="Consolas" w:hAnsi="Consolas"/>
      <w:sz w:val="20"/>
      <w:szCs w:val="20"/>
    </w:rPr>
  </w:style>
  <w:style w:type="character" w:styleId="HTMLCode">
    <w:name w:val="HTML Code"/>
    <w:basedOn w:val="DefaultParagraphFont"/>
    <w:uiPriority w:val="99"/>
    <w:semiHidden/>
    <w:unhideWhenUsed/>
    <w:rsid w:val="00F72739"/>
    <w:rPr>
      <w:rFonts w:ascii="Consolas" w:hAnsi="Consolas"/>
      <w:sz w:val="20"/>
      <w:szCs w:val="20"/>
      <w:lang w:val="sv-SE"/>
    </w:rPr>
  </w:style>
  <w:style w:type="character" w:styleId="HTMLTypewriter">
    <w:name w:val="HTML Typewriter"/>
    <w:basedOn w:val="DefaultParagraphFont"/>
    <w:uiPriority w:val="99"/>
    <w:semiHidden/>
    <w:unhideWhenUsed/>
    <w:rsid w:val="00F72739"/>
    <w:rPr>
      <w:rFonts w:ascii="Consolas" w:hAnsi="Consolas"/>
      <w:sz w:val="20"/>
      <w:szCs w:val="20"/>
      <w:lang w:val="sv-SE"/>
    </w:rPr>
  </w:style>
  <w:style w:type="character" w:styleId="HTMLKeyboard">
    <w:name w:val="HTML Keyboard"/>
    <w:basedOn w:val="DefaultParagraphFont"/>
    <w:uiPriority w:val="99"/>
    <w:semiHidden/>
    <w:unhideWhenUsed/>
    <w:rsid w:val="00F72739"/>
    <w:rPr>
      <w:rFonts w:ascii="Consolas" w:hAnsi="Consolas"/>
      <w:sz w:val="20"/>
      <w:szCs w:val="20"/>
      <w:lang w:val="sv-SE"/>
    </w:rPr>
  </w:style>
  <w:style w:type="character" w:styleId="HTMLVariable">
    <w:name w:val="HTML Variable"/>
    <w:basedOn w:val="DefaultParagraphFont"/>
    <w:uiPriority w:val="99"/>
    <w:semiHidden/>
    <w:unhideWhenUsed/>
    <w:rsid w:val="00F72739"/>
    <w:rPr>
      <w:i/>
      <w:iCs/>
      <w:lang w:val="sv-SE"/>
    </w:rPr>
  </w:style>
  <w:style w:type="character" w:styleId="Hyperlink">
    <w:name w:val="Hyperlink"/>
    <w:basedOn w:val="DefaultParagraphFont"/>
    <w:uiPriority w:val="99"/>
    <w:semiHidden/>
    <w:rsid w:val="00F72739"/>
    <w:rPr>
      <w:color w:val="0000FF" w:themeColor="hyperlink"/>
      <w:u w:val="single"/>
      <w:lang w:val="sv-SE"/>
    </w:rPr>
  </w:style>
  <w:style w:type="paragraph" w:styleId="Index1">
    <w:name w:val="index 1"/>
    <w:basedOn w:val="Normal"/>
    <w:next w:val="Normal"/>
    <w:autoRedefine/>
    <w:uiPriority w:val="99"/>
    <w:semiHidden/>
    <w:unhideWhenUsed/>
    <w:rsid w:val="00F72739"/>
    <w:pPr>
      <w:spacing w:after="0"/>
      <w:ind w:left="220" w:hanging="220"/>
    </w:pPr>
  </w:style>
  <w:style w:type="paragraph" w:styleId="Index2">
    <w:name w:val="index 2"/>
    <w:basedOn w:val="Normal"/>
    <w:next w:val="Normal"/>
    <w:autoRedefine/>
    <w:uiPriority w:val="99"/>
    <w:semiHidden/>
    <w:unhideWhenUsed/>
    <w:rsid w:val="00F72739"/>
    <w:pPr>
      <w:spacing w:after="0"/>
      <w:ind w:left="440" w:hanging="220"/>
    </w:pPr>
  </w:style>
  <w:style w:type="paragraph" w:styleId="Index3">
    <w:name w:val="index 3"/>
    <w:basedOn w:val="Normal"/>
    <w:next w:val="Normal"/>
    <w:autoRedefine/>
    <w:uiPriority w:val="99"/>
    <w:semiHidden/>
    <w:unhideWhenUsed/>
    <w:rsid w:val="00F72739"/>
    <w:pPr>
      <w:spacing w:after="0"/>
      <w:ind w:left="660" w:hanging="220"/>
    </w:pPr>
  </w:style>
  <w:style w:type="paragraph" w:styleId="Index4">
    <w:name w:val="index 4"/>
    <w:basedOn w:val="Normal"/>
    <w:next w:val="Normal"/>
    <w:autoRedefine/>
    <w:uiPriority w:val="99"/>
    <w:semiHidden/>
    <w:unhideWhenUsed/>
    <w:rsid w:val="00F72739"/>
    <w:pPr>
      <w:spacing w:after="0"/>
      <w:ind w:left="880" w:hanging="220"/>
    </w:pPr>
  </w:style>
  <w:style w:type="paragraph" w:styleId="Index5">
    <w:name w:val="index 5"/>
    <w:basedOn w:val="Normal"/>
    <w:next w:val="Normal"/>
    <w:autoRedefine/>
    <w:uiPriority w:val="99"/>
    <w:semiHidden/>
    <w:unhideWhenUsed/>
    <w:rsid w:val="00F72739"/>
    <w:pPr>
      <w:spacing w:after="0"/>
      <w:ind w:left="1100" w:hanging="220"/>
    </w:pPr>
  </w:style>
  <w:style w:type="paragraph" w:styleId="Index6">
    <w:name w:val="index 6"/>
    <w:basedOn w:val="Normal"/>
    <w:next w:val="Normal"/>
    <w:autoRedefine/>
    <w:uiPriority w:val="99"/>
    <w:semiHidden/>
    <w:unhideWhenUsed/>
    <w:rsid w:val="00F72739"/>
    <w:pPr>
      <w:spacing w:after="0"/>
      <w:ind w:left="1320" w:hanging="220"/>
    </w:pPr>
  </w:style>
  <w:style w:type="paragraph" w:styleId="Index7">
    <w:name w:val="index 7"/>
    <w:basedOn w:val="Normal"/>
    <w:next w:val="Normal"/>
    <w:autoRedefine/>
    <w:uiPriority w:val="99"/>
    <w:semiHidden/>
    <w:unhideWhenUsed/>
    <w:rsid w:val="00F72739"/>
    <w:pPr>
      <w:spacing w:after="0"/>
      <w:ind w:left="1540" w:hanging="220"/>
    </w:pPr>
  </w:style>
  <w:style w:type="paragraph" w:styleId="Index8">
    <w:name w:val="index 8"/>
    <w:basedOn w:val="Normal"/>
    <w:next w:val="Normal"/>
    <w:autoRedefine/>
    <w:uiPriority w:val="99"/>
    <w:semiHidden/>
    <w:unhideWhenUsed/>
    <w:rsid w:val="00F72739"/>
    <w:pPr>
      <w:spacing w:after="0"/>
      <w:ind w:left="1760" w:hanging="220"/>
    </w:pPr>
  </w:style>
  <w:style w:type="paragraph" w:styleId="Index9">
    <w:name w:val="index 9"/>
    <w:basedOn w:val="Normal"/>
    <w:next w:val="Normal"/>
    <w:autoRedefine/>
    <w:uiPriority w:val="99"/>
    <w:semiHidden/>
    <w:unhideWhenUsed/>
    <w:rsid w:val="00F72739"/>
    <w:pPr>
      <w:spacing w:after="0"/>
      <w:ind w:left="1980" w:hanging="220"/>
    </w:pPr>
  </w:style>
  <w:style w:type="paragraph" w:styleId="IndexHeading">
    <w:name w:val="index heading"/>
    <w:basedOn w:val="Normal"/>
    <w:next w:val="Index1"/>
    <w:uiPriority w:val="99"/>
    <w:semiHidden/>
    <w:unhideWhenUsed/>
    <w:rsid w:val="00F72739"/>
    <w:rPr>
      <w:rFonts w:asciiTheme="majorHAnsi" w:eastAsiaTheme="majorEastAsia" w:hAnsiTheme="majorHAnsi" w:cstheme="majorBidi"/>
      <w:b/>
      <w:bCs/>
    </w:rPr>
  </w:style>
  <w:style w:type="paragraph" w:styleId="BlockText">
    <w:name w:val="Block Text"/>
    <w:basedOn w:val="Normal"/>
    <w:uiPriority w:val="99"/>
    <w:semiHidden/>
    <w:rsid w:val="00F72739"/>
    <w:pPr>
      <w:pBdr>
        <w:top w:val="single" w:sz="2" w:space="10" w:color="144361" w:themeColor="accent1" w:shadow="1"/>
        <w:left w:val="single" w:sz="2" w:space="10" w:color="144361" w:themeColor="accent1" w:shadow="1"/>
        <w:bottom w:val="single" w:sz="2" w:space="10" w:color="144361" w:themeColor="accent1" w:shadow="1"/>
        <w:right w:val="single" w:sz="2" w:space="10" w:color="144361" w:themeColor="accent1" w:shadow="1"/>
      </w:pBdr>
      <w:ind w:left="1152" w:right="1152"/>
    </w:pPr>
    <w:rPr>
      <w:rFonts w:eastAsiaTheme="minorEastAsia"/>
      <w:i/>
      <w:iCs/>
      <w:color w:val="144361" w:themeColor="accent1"/>
    </w:rPr>
  </w:style>
  <w:style w:type="paragraph" w:styleId="NoSpacing">
    <w:name w:val="No Spacing"/>
    <w:uiPriority w:val="1"/>
    <w:semiHidden/>
    <w:rsid w:val="00F72739"/>
    <w:pPr>
      <w:spacing w:after="160" w:line="240" w:lineRule="auto"/>
    </w:pPr>
  </w:style>
  <w:style w:type="paragraph" w:styleId="Salutation">
    <w:name w:val="Salutation"/>
    <w:basedOn w:val="Normal"/>
    <w:next w:val="Normal"/>
    <w:link w:val="SalutationChar"/>
    <w:uiPriority w:val="99"/>
    <w:semiHidden/>
    <w:rsid w:val="00F72739"/>
  </w:style>
  <w:style w:type="character" w:customStyle="1" w:styleId="SalutationChar">
    <w:name w:val="Salutation Char"/>
    <w:basedOn w:val="DefaultParagraphFont"/>
    <w:link w:val="Salutation"/>
    <w:uiPriority w:val="99"/>
    <w:semiHidden/>
    <w:rsid w:val="00F72739"/>
  </w:style>
  <w:style w:type="paragraph" w:styleId="TOC1">
    <w:name w:val="toc 1"/>
    <w:basedOn w:val="Normal"/>
    <w:next w:val="Normal"/>
    <w:autoRedefine/>
    <w:uiPriority w:val="39"/>
    <w:semiHidden/>
    <w:rsid w:val="00F72739"/>
    <w:pPr>
      <w:tabs>
        <w:tab w:val="left" w:pos="851"/>
        <w:tab w:val="right" w:leader="dot" w:pos="9060"/>
      </w:tabs>
      <w:spacing w:after="40"/>
    </w:pPr>
    <w:rPr>
      <w:rFonts w:ascii="Calibri" w:hAnsi="Calibri"/>
      <w:sz w:val="21"/>
    </w:rPr>
  </w:style>
  <w:style w:type="paragraph" w:styleId="TOC2">
    <w:name w:val="toc 2"/>
    <w:basedOn w:val="TOC1"/>
    <w:next w:val="Normal"/>
    <w:autoRedefine/>
    <w:uiPriority w:val="39"/>
    <w:semiHidden/>
    <w:rsid w:val="00F72739"/>
    <w:pPr>
      <w:tabs>
        <w:tab w:val="left" w:pos="1701"/>
      </w:tabs>
      <w:ind w:left="851"/>
    </w:pPr>
    <w:rPr>
      <w:noProof/>
    </w:rPr>
  </w:style>
  <w:style w:type="paragraph" w:styleId="TOC3">
    <w:name w:val="toc 3"/>
    <w:basedOn w:val="TOC1"/>
    <w:next w:val="Normal"/>
    <w:autoRedefine/>
    <w:uiPriority w:val="39"/>
    <w:semiHidden/>
    <w:rsid w:val="00F72739"/>
    <w:pPr>
      <w:tabs>
        <w:tab w:val="left" w:pos="2552"/>
      </w:tabs>
      <w:ind w:left="1701"/>
    </w:pPr>
  </w:style>
  <w:style w:type="paragraph" w:styleId="TOC4">
    <w:name w:val="toc 4"/>
    <w:basedOn w:val="TOC1"/>
    <w:next w:val="Normal"/>
    <w:autoRedefine/>
    <w:uiPriority w:val="39"/>
    <w:semiHidden/>
    <w:rsid w:val="00F72739"/>
    <w:pPr>
      <w:tabs>
        <w:tab w:val="clear" w:pos="851"/>
        <w:tab w:val="clear" w:pos="9060"/>
        <w:tab w:val="left" w:pos="1418"/>
      </w:tabs>
    </w:pPr>
  </w:style>
  <w:style w:type="paragraph" w:styleId="TOC5">
    <w:name w:val="toc 5"/>
    <w:basedOn w:val="Normal"/>
    <w:next w:val="Normal"/>
    <w:autoRedefine/>
    <w:uiPriority w:val="39"/>
    <w:semiHidden/>
    <w:unhideWhenUsed/>
    <w:rsid w:val="00F72739"/>
    <w:pPr>
      <w:spacing w:after="100"/>
      <w:ind w:left="880"/>
    </w:pPr>
  </w:style>
  <w:style w:type="paragraph" w:styleId="TOC6">
    <w:name w:val="toc 6"/>
    <w:basedOn w:val="Normal"/>
    <w:next w:val="Normal"/>
    <w:autoRedefine/>
    <w:uiPriority w:val="39"/>
    <w:semiHidden/>
    <w:unhideWhenUsed/>
    <w:rsid w:val="00F72739"/>
    <w:pPr>
      <w:spacing w:after="100"/>
      <w:ind w:left="1100"/>
    </w:pPr>
  </w:style>
  <w:style w:type="paragraph" w:styleId="TOC7">
    <w:name w:val="toc 7"/>
    <w:basedOn w:val="Normal"/>
    <w:next w:val="Normal"/>
    <w:autoRedefine/>
    <w:uiPriority w:val="39"/>
    <w:semiHidden/>
    <w:unhideWhenUsed/>
    <w:rsid w:val="00F72739"/>
    <w:pPr>
      <w:spacing w:after="100"/>
      <w:ind w:left="1320"/>
    </w:pPr>
  </w:style>
  <w:style w:type="paragraph" w:styleId="TOC8">
    <w:name w:val="toc 8"/>
    <w:basedOn w:val="Normal"/>
    <w:next w:val="Normal"/>
    <w:autoRedefine/>
    <w:uiPriority w:val="39"/>
    <w:semiHidden/>
    <w:unhideWhenUsed/>
    <w:rsid w:val="00F72739"/>
    <w:pPr>
      <w:spacing w:after="100"/>
      <w:ind w:left="1540"/>
    </w:pPr>
  </w:style>
  <w:style w:type="paragraph" w:styleId="TOC9">
    <w:name w:val="toc 9"/>
    <w:basedOn w:val="Normal"/>
    <w:next w:val="Normal"/>
    <w:autoRedefine/>
    <w:uiPriority w:val="39"/>
    <w:semiHidden/>
    <w:unhideWhenUsed/>
    <w:rsid w:val="00F72739"/>
    <w:pPr>
      <w:spacing w:after="100"/>
      <w:ind w:left="1760"/>
    </w:pPr>
  </w:style>
  <w:style w:type="character" w:customStyle="1" w:styleId="Heading1Char">
    <w:name w:val="Heading 1 Char"/>
    <w:basedOn w:val="DefaultParagraphFont"/>
    <w:link w:val="Heading1"/>
    <w:uiPriority w:val="9"/>
    <w:rsid w:val="007C5D03"/>
    <w:rPr>
      <w:rFonts w:ascii="Arial Narrow" w:eastAsiaTheme="majorEastAsia" w:hAnsi="Arial Narrow" w:cstheme="majorBidi"/>
      <w:b/>
      <w:bCs/>
      <w:sz w:val="26"/>
      <w:szCs w:val="28"/>
    </w:rPr>
  </w:style>
  <w:style w:type="paragraph" w:styleId="TOCHeading">
    <w:name w:val="TOC Heading"/>
    <w:basedOn w:val="Normal"/>
    <w:next w:val="Normal"/>
    <w:uiPriority w:val="39"/>
    <w:semiHidden/>
    <w:rsid w:val="00F72739"/>
    <w:pPr>
      <w:spacing w:after="100" w:line="240" w:lineRule="atLeast"/>
    </w:pPr>
    <w:rPr>
      <w:rFonts w:ascii="Arial Narrow" w:hAnsi="Arial Narrow"/>
      <w:b/>
      <w:sz w:val="26"/>
    </w:rPr>
  </w:style>
  <w:style w:type="paragraph" w:styleId="CommentText">
    <w:name w:val="annotation text"/>
    <w:basedOn w:val="Normal"/>
    <w:link w:val="CommentTextChar"/>
    <w:uiPriority w:val="99"/>
    <w:unhideWhenUsed/>
    <w:rsid w:val="00F72739"/>
    <w:rPr>
      <w:sz w:val="20"/>
      <w:szCs w:val="20"/>
    </w:rPr>
  </w:style>
  <w:style w:type="character" w:customStyle="1" w:styleId="CommentTextChar">
    <w:name w:val="Comment Text Char"/>
    <w:basedOn w:val="DefaultParagraphFont"/>
    <w:link w:val="CommentText"/>
    <w:uiPriority w:val="99"/>
    <w:rsid w:val="00F72739"/>
    <w:rPr>
      <w:sz w:val="20"/>
      <w:szCs w:val="20"/>
    </w:rPr>
  </w:style>
  <w:style w:type="character" w:styleId="CommentReference">
    <w:name w:val="annotation reference"/>
    <w:basedOn w:val="DefaultParagraphFont"/>
    <w:uiPriority w:val="99"/>
    <w:semiHidden/>
    <w:unhideWhenUsed/>
    <w:rsid w:val="00F72739"/>
    <w:rPr>
      <w:sz w:val="16"/>
      <w:szCs w:val="16"/>
      <w:lang w:val="sv-SE"/>
    </w:rPr>
  </w:style>
  <w:style w:type="paragraph" w:styleId="CommentSubject">
    <w:name w:val="annotation subject"/>
    <w:basedOn w:val="CommentText"/>
    <w:next w:val="CommentText"/>
    <w:link w:val="CommentSubjectChar"/>
    <w:uiPriority w:val="99"/>
    <w:semiHidden/>
    <w:unhideWhenUsed/>
    <w:rsid w:val="00F72739"/>
    <w:rPr>
      <w:b/>
      <w:bCs/>
    </w:rPr>
  </w:style>
  <w:style w:type="character" w:customStyle="1" w:styleId="CommentSubjectChar">
    <w:name w:val="Comment Subject Char"/>
    <w:basedOn w:val="CommentTextChar"/>
    <w:link w:val="CommentSubject"/>
    <w:uiPriority w:val="99"/>
    <w:semiHidden/>
    <w:rsid w:val="00F72739"/>
    <w:rPr>
      <w:b/>
      <w:bCs/>
      <w:sz w:val="20"/>
      <w:szCs w:val="20"/>
    </w:rPr>
  </w:style>
  <w:style w:type="paragraph" w:styleId="List">
    <w:name w:val="List"/>
    <w:basedOn w:val="Normal"/>
    <w:uiPriority w:val="99"/>
    <w:semiHidden/>
    <w:rsid w:val="00F72739"/>
    <w:pPr>
      <w:ind w:left="283" w:hanging="283"/>
      <w:contextualSpacing/>
    </w:pPr>
  </w:style>
  <w:style w:type="paragraph" w:styleId="List2">
    <w:name w:val="List 2"/>
    <w:basedOn w:val="Normal"/>
    <w:uiPriority w:val="99"/>
    <w:semiHidden/>
    <w:rsid w:val="00F72739"/>
    <w:pPr>
      <w:ind w:left="566" w:hanging="283"/>
      <w:contextualSpacing/>
    </w:pPr>
  </w:style>
  <w:style w:type="paragraph" w:styleId="List3">
    <w:name w:val="List 3"/>
    <w:basedOn w:val="Normal"/>
    <w:uiPriority w:val="99"/>
    <w:semiHidden/>
    <w:rsid w:val="00F72739"/>
    <w:pPr>
      <w:ind w:left="849" w:hanging="283"/>
      <w:contextualSpacing/>
    </w:pPr>
  </w:style>
  <w:style w:type="paragraph" w:styleId="List4">
    <w:name w:val="List 4"/>
    <w:basedOn w:val="Normal"/>
    <w:uiPriority w:val="99"/>
    <w:semiHidden/>
    <w:rsid w:val="00F72739"/>
    <w:pPr>
      <w:ind w:left="1132" w:hanging="283"/>
      <w:contextualSpacing/>
    </w:pPr>
  </w:style>
  <w:style w:type="paragraph" w:styleId="List5">
    <w:name w:val="List 5"/>
    <w:basedOn w:val="Normal"/>
    <w:uiPriority w:val="99"/>
    <w:semiHidden/>
    <w:rsid w:val="00F72739"/>
    <w:pPr>
      <w:ind w:left="1415" w:hanging="283"/>
      <w:contextualSpacing/>
    </w:pPr>
  </w:style>
  <w:style w:type="paragraph" w:styleId="ListContinue">
    <w:name w:val="List Continue"/>
    <w:basedOn w:val="Normal"/>
    <w:uiPriority w:val="99"/>
    <w:semiHidden/>
    <w:unhideWhenUsed/>
    <w:rsid w:val="00F72739"/>
    <w:pPr>
      <w:spacing w:after="120"/>
      <w:ind w:left="283"/>
      <w:contextualSpacing/>
    </w:pPr>
  </w:style>
  <w:style w:type="paragraph" w:styleId="ListContinue2">
    <w:name w:val="List Continue 2"/>
    <w:basedOn w:val="Normal"/>
    <w:uiPriority w:val="99"/>
    <w:semiHidden/>
    <w:unhideWhenUsed/>
    <w:rsid w:val="00F72739"/>
    <w:pPr>
      <w:spacing w:after="120"/>
      <w:ind w:left="566"/>
      <w:contextualSpacing/>
    </w:pPr>
  </w:style>
  <w:style w:type="paragraph" w:styleId="ListContinue3">
    <w:name w:val="List Continue 3"/>
    <w:basedOn w:val="Normal"/>
    <w:uiPriority w:val="99"/>
    <w:semiHidden/>
    <w:unhideWhenUsed/>
    <w:rsid w:val="00F72739"/>
    <w:pPr>
      <w:spacing w:after="120"/>
      <w:ind w:left="849"/>
      <w:contextualSpacing/>
    </w:pPr>
  </w:style>
  <w:style w:type="paragraph" w:styleId="ListContinue4">
    <w:name w:val="List Continue 4"/>
    <w:basedOn w:val="Normal"/>
    <w:uiPriority w:val="99"/>
    <w:semiHidden/>
    <w:unhideWhenUsed/>
    <w:rsid w:val="00F72739"/>
    <w:pPr>
      <w:spacing w:after="120"/>
      <w:ind w:left="1132"/>
      <w:contextualSpacing/>
    </w:pPr>
  </w:style>
  <w:style w:type="paragraph" w:styleId="ListContinue5">
    <w:name w:val="List Continue 5"/>
    <w:basedOn w:val="Normal"/>
    <w:uiPriority w:val="99"/>
    <w:semiHidden/>
    <w:unhideWhenUsed/>
    <w:rsid w:val="00F72739"/>
    <w:pPr>
      <w:spacing w:after="120"/>
      <w:ind w:left="1415"/>
      <w:contextualSpacing/>
    </w:pPr>
  </w:style>
  <w:style w:type="paragraph" w:styleId="ListParagraph">
    <w:name w:val="List Paragraph"/>
    <w:basedOn w:val="Normal"/>
    <w:uiPriority w:val="34"/>
    <w:qFormat/>
    <w:rsid w:val="00F72739"/>
    <w:pPr>
      <w:ind w:left="720"/>
      <w:contextualSpacing/>
    </w:pPr>
  </w:style>
  <w:style w:type="paragraph" w:styleId="Bibliography">
    <w:name w:val="Bibliography"/>
    <w:basedOn w:val="Normal"/>
    <w:next w:val="Normal"/>
    <w:uiPriority w:val="37"/>
    <w:semiHidden/>
    <w:unhideWhenUsed/>
    <w:rsid w:val="00F72739"/>
  </w:style>
  <w:style w:type="paragraph" w:styleId="MacroText">
    <w:name w:val="macro"/>
    <w:link w:val="MacroTextChar"/>
    <w:uiPriority w:val="99"/>
    <w:semiHidden/>
    <w:unhideWhenUsed/>
    <w:rsid w:val="00F7273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72739"/>
    <w:rPr>
      <w:rFonts w:ascii="Consolas" w:hAnsi="Consolas"/>
      <w:sz w:val="20"/>
      <w:szCs w:val="20"/>
    </w:rPr>
  </w:style>
  <w:style w:type="paragraph" w:styleId="MessageHeader">
    <w:name w:val="Message Header"/>
    <w:basedOn w:val="Normal"/>
    <w:link w:val="MessageHeaderChar"/>
    <w:uiPriority w:val="99"/>
    <w:semiHidden/>
    <w:unhideWhenUsed/>
    <w:rsid w:val="00F7273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F72739"/>
    <w:rPr>
      <w:rFonts w:asciiTheme="majorHAnsi" w:eastAsiaTheme="majorEastAsia" w:hAnsiTheme="majorHAnsi" w:cstheme="majorBidi"/>
      <w:szCs w:val="24"/>
      <w:shd w:val="pct20" w:color="auto" w:fill="auto"/>
    </w:rPr>
  </w:style>
  <w:style w:type="paragraph" w:styleId="NormalWeb">
    <w:name w:val="Normal (Web)"/>
    <w:basedOn w:val="Normal"/>
    <w:uiPriority w:val="99"/>
    <w:unhideWhenUsed/>
    <w:rsid w:val="00F72739"/>
    <w:rPr>
      <w:rFonts w:ascii="Times New Roman" w:hAnsi="Times New Roman" w:cs="Times New Roman"/>
      <w:szCs w:val="24"/>
    </w:rPr>
  </w:style>
  <w:style w:type="paragraph" w:styleId="NormalIndent">
    <w:name w:val="Normal Indent"/>
    <w:basedOn w:val="Normal"/>
    <w:qFormat/>
    <w:rsid w:val="00F72739"/>
    <w:pPr>
      <w:ind w:left="851"/>
    </w:pPr>
  </w:style>
  <w:style w:type="paragraph" w:styleId="ListNumber">
    <w:name w:val="List Number"/>
    <w:basedOn w:val="Normal"/>
    <w:uiPriority w:val="19"/>
    <w:semiHidden/>
    <w:rsid w:val="00F72739"/>
    <w:pPr>
      <w:numPr>
        <w:numId w:val="6"/>
      </w:numPr>
      <w:contextualSpacing/>
    </w:pPr>
  </w:style>
  <w:style w:type="paragraph" w:styleId="ListNumber2">
    <w:name w:val="List Number 2"/>
    <w:basedOn w:val="Normal"/>
    <w:uiPriority w:val="19"/>
    <w:semiHidden/>
    <w:rsid w:val="00F72739"/>
    <w:pPr>
      <w:numPr>
        <w:ilvl w:val="1"/>
        <w:numId w:val="6"/>
      </w:numPr>
      <w:contextualSpacing/>
    </w:pPr>
  </w:style>
  <w:style w:type="paragraph" w:styleId="ListNumber3">
    <w:name w:val="List Number 3"/>
    <w:basedOn w:val="Normal"/>
    <w:uiPriority w:val="19"/>
    <w:semiHidden/>
    <w:rsid w:val="00F72739"/>
    <w:pPr>
      <w:numPr>
        <w:ilvl w:val="2"/>
        <w:numId w:val="6"/>
      </w:numPr>
      <w:contextualSpacing/>
    </w:pPr>
  </w:style>
  <w:style w:type="paragraph" w:styleId="ListNumber4">
    <w:name w:val="List Number 4"/>
    <w:basedOn w:val="Normal"/>
    <w:uiPriority w:val="49"/>
    <w:semiHidden/>
    <w:rsid w:val="00F72739"/>
    <w:pPr>
      <w:numPr>
        <w:ilvl w:val="3"/>
        <w:numId w:val="6"/>
      </w:numPr>
      <w:contextualSpacing/>
    </w:pPr>
  </w:style>
  <w:style w:type="paragraph" w:styleId="ListNumber5">
    <w:name w:val="List Number 5"/>
    <w:basedOn w:val="Normal"/>
    <w:uiPriority w:val="99"/>
    <w:semiHidden/>
    <w:unhideWhenUsed/>
    <w:rsid w:val="00F72739"/>
    <w:pPr>
      <w:numPr>
        <w:numId w:val="5"/>
      </w:numPr>
      <w:contextualSpacing/>
    </w:pPr>
  </w:style>
  <w:style w:type="paragraph" w:styleId="PlainText">
    <w:name w:val="Plain Text"/>
    <w:basedOn w:val="Normal"/>
    <w:link w:val="PlainTextChar"/>
    <w:uiPriority w:val="99"/>
    <w:semiHidden/>
    <w:unhideWhenUsed/>
    <w:rsid w:val="00F7273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72739"/>
    <w:rPr>
      <w:rFonts w:ascii="Consolas" w:hAnsi="Consolas"/>
      <w:sz w:val="21"/>
      <w:szCs w:val="21"/>
    </w:rPr>
  </w:style>
  <w:style w:type="character" w:styleId="PlaceholderText">
    <w:name w:val="Placeholder Text"/>
    <w:basedOn w:val="DefaultParagraphFont"/>
    <w:uiPriority w:val="99"/>
    <w:semiHidden/>
    <w:rsid w:val="00F72739"/>
    <w:rPr>
      <w:color w:val="808080"/>
      <w:lang w:val="sv-SE"/>
    </w:rPr>
  </w:style>
  <w:style w:type="paragraph" w:styleId="ListBullet">
    <w:name w:val="List Bullet"/>
    <w:basedOn w:val="Normal"/>
    <w:uiPriority w:val="18"/>
    <w:rsid w:val="00587CBC"/>
    <w:pPr>
      <w:numPr>
        <w:numId w:val="11"/>
      </w:numPr>
      <w:contextualSpacing/>
    </w:pPr>
  </w:style>
  <w:style w:type="paragraph" w:styleId="ListBullet2">
    <w:name w:val="List Bullet 2"/>
    <w:basedOn w:val="Normal"/>
    <w:uiPriority w:val="18"/>
    <w:semiHidden/>
    <w:rsid w:val="00587CBC"/>
    <w:pPr>
      <w:numPr>
        <w:ilvl w:val="1"/>
        <w:numId w:val="11"/>
      </w:numPr>
      <w:contextualSpacing/>
    </w:pPr>
  </w:style>
  <w:style w:type="paragraph" w:styleId="ListBullet3">
    <w:name w:val="List Bullet 3"/>
    <w:basedOn w:val="Normal"/>
    <w:uiPriority w:val="18"/>
    <w:semiHidden/>
    <w:rsid w:val="00587CBC"/>
    <w:pPr>
      <w:numPr>
        <w:ilvl w:val="2"/>
        <w:numId w:val="11"/>
      </w:numPr>
      <w:contextualSpacing/>
    </w:pPr>
  </w:style>
  <w:style w:type="paragraph" w:styleId="ListBullet4">
    <w:name w:val="List Bullet 4"/>
    <w:basedOn w:val="Normal"/>
    <w:uiPriority w:val="49"/>
    <w:semiHidden/>
    <w:rsid w:val="00587CBC"/>
    <w:pPr>
      <w:numPr>
        <w:ilvl w:val="3"/>
        <w:numId w:val="11"/>
      </w:numPr>
      <w:contextualSpacing/>
    </w:pPr>
  </w:style>
  <w:style w:type="paragraph" w:styleId="ListBullet5">
    <w:name w:val="List Bullet 5"/>
    <w:basedOn w:val="Normal"/>
    <w:uiPriority w:val="49"/>
    <w:semiHidden/>
    <w:rsid w:val="00587CBC"/>
    <w:pPr>
      <w:numPr>
        <w:ilvl w:val="4"/>
        <w:numId w:val="11"/>
      </w:numPr>
      <w:contextualSpacing/>
    </w:pPr>
  </w:style>
  <w:style w:type="character" w:styleId="LineNumber">
    <w:name w:val="line number"/>
    <w:basedOn w:val="DefaultParagraphFont"/>
    <w:uiPriority w:val="99"/>
    <w:semiHidden/>
    <w:unhideWhenUsed/>
    <w:rsid w:val="00F72739"/>
    <w:rPr>
      <w:lang w:val="sv-SE"/>
    </w:rPr>
  </w:style>
  <w:style w:type="paragraph" w:styleId="Title">
    <w:name w:val="Title"/>
    <w:basedOn w:val="Normal"/>
    <w:next w:val="Normal"/>
    <w:link w:val="TitleChar"/>
    <w:uiPriority w:val="39"/>
    <w:semiHidden/>
    <w:rsid w:val="00F72739"/>
    <w:pPr>
      <w:spacing w:after="60"/>
      <w:contextualSpacing/>
      <w:jc w:val="left"/>
    </w:pPr>
    <w:rPr>
      <w:rFonts w:ascii="Arial Narrow" w:eastAsiaTheme="majorEastAsia" w:hAnsi="Arial Narrow" w:cstheme="majorBidi"/>
      <w:b/>
      <w:spacing w:val="5"/>
      <w:kern w:val="28"/>
      <w:sz w:val="30"/>
      <w:szCs w:val="52"/>
    </w:rPr>
  </w:style>
  <w:style w:type="character" w:customStyle="1" w:styleId="TitleChar">
    <w:name w:val="Title Char"/>
    <w:basedOn w:val="DefaultParagraphFont"/>
    <w:link w:val="Title"/>
    <w:uiPriority w:val="39"/>
    <w:semiHidden/>
    <w:rsid w:val="008548BA"/>
    <w:rPr>
      <w:rFonts w:ascii="Arial Narrow" w:eastAsiaTheme="majorEastAsia" w:hAnsi="Arial Narrow" w:cstheme="majorBidi"/>
      <w:b/>
      <w:spacing w:val="5"/>
      <w:kern w:val="28"/>
      <w:sz w:val="30"/>
      <w:szCs w:val="52"/>
    </w:rPr>
  </w:style>
  <w:style w:type="character" w:customStyle="1" w:styleId="Heading2Char">
    <w:name w:val="Heading 2 Char"/>
    <w:basedOn w:val="DefaultParagraphFont"/>
    <w:link w:val="Heading2"/>
    <w:uiPriority w:val="9"/>
    <w:rsid w:val="007C5D03"/>
    <w:rPr>
      <w:rFonts w:ascii="Arial Narrow" w:eastAsiaTheme="majorEastAsia" w:hAnsi="Arial Narrow" w:cstheme="majorBidi"/>
      <w:b/>
      <w:bCs/>
      <w:szCs w:val="26"/>
    </w:rPr>
  </w:style>
  <w:style w:type="character" w:customStyle="1" w:styleId="Heading3Char">
    <w:name w:val="Heading 3 Char"/>
    <w:basedOn w:val="DefaultParagraphFont"/>
    <w:link w:val="Heading3"/>
    <w:uiPriority w:val="9"/>
    <w:rsid w:val="007C5D03"/>
    <w:rPr>
      <w:rFonts w:ascii="Arial Narrow" w:eastAsiaTheme="majorEastAsia" w:hAnsi="Arial Narrow" w:cstheme="majorBidi"/>
      <w:bCs/>
    </w:rPr>
  </w:style>
  <w:style w:type="character" w:customStyle="1" w:styleId="Heading4Char">
    <w:name w:val="Heading 4 Char"/>
    <w:basedOn w:val="DefaultParagraphFont"/>
    <w:link w:val="Heading4"/>
    <w:uiPriority w:val="9"/>
    <w:rsid w:val="007C5D03"/>
    <w:rPr>
      <w:rFonts w:ascii="Arial Narrow" w:eastAsiaTheme="majorEastAsia" w:hAnsi="Arial Narrow" w:cstheme="majorBidi"/>
      <w:bCs/>
      <w:i/>
      <w:iCs/>
    </w:rPr>
  </w:style>
  <w:style w:type="character" w:customStyle="1" w:styleId="Heading5Char">
    <w:name w:val="Heading 5 Char"/>
    <w:basedOn w:val="DefaultParagraphFont"/>
    <w:link w:val="Heading5"/>
    <w:uiPriority w:val="9"/>
    <w:semiHidden/>
    <w:rsid w:val="007C5D03"/>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F72739"/>
    <w:rPr>
      <w:rFonts w:asciiTheme="majorHAnsi" w:eastAsiaTheme="majorEastAsia" w:hAnsiTheme="majorHAnsi" w:cstheme="majorBidi"/>
      <w:i/>
      <w:iCs/>
      <w:color w:val="0A2130" w:themeColor="accent1" w:themeShade="7F"/>
    </w:rPr>
  </w:style>
  <w:style w:type="character" w:customStyle="1" w:styleId="Heading7Char">
    <w:name w:val="Heading 7 Char"/>
    <w:basedOn w:val="DefaultParagraphFont"/>
    <w:link w:val="Heading7"/>
    <w:uiPriority w:val="9"/>
    <w:semiHidden/>
    <w:rsid w:val="00F727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727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2739"/>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33"/>
    <w:rsid w:val="00F72739"/>
    <w:pPr>
      <w:tabs>
        <w:tab w:val="center" w:pos="4513"/>
        <w:tab w:val="right" w:pos="9026"/>
      </w:tabs>
      <w:spacing w:after="0"/>
    </w:pPr>
    <w:rPr>
      <w:rFonts w:ascii="Arial Narrow" w:hAnsi="Arial Narrow"/>
      <w:sz w:val="20"/>
    </w:rPr>
  </w:style>
  <w:style w:type="character" w:customStyle="1" w:styleId="FooterChar">
    <w:name w:val="Footer Char"/>
    <w:basedOn w:val="DefaultParagraphFont"/>
    <w:link w:val="Footer"/>
    <w:uiPriority w:val="33"/>
    <w:rsid w:val="00F72739"/>
    <w:rPr>
      <w:rFonts w:ascii="Arial Narrow" w:hAnsi="Arial Narrow"/>
      <w:sz w:val="20"/>
    </w:rPr>
  </w:style>
  <w:style w:type="paragraph" w:styleId="Header">
    <w:name w:val="header"/>
    <w:basedOn w:val="Normal"/>
    <w:link w:val="HeaderChar"/>
    <w:uiPriority w:val="33"/>
    <w:rsid w:val="00F72739"/>
    <w:pPr>
      <w:tabs>
        <w:tab w:val="center" w:pos="4513"/>
        <w:tab w:val="right" w:pos="9026"/>
      </w:tabs>
      <w:spacing w:after="0"/>
    </w:pPr>
    <w:rPr>
      <w:i/>
    </w:rPr>
  </w:style>
  <w:style w:type="character" w:customStyle="1" w:styleId="HeaderChar">
    <w:name w:val="Header Char"/>
    <w:basedOn w:val="DefaultParagraphFont"/>
    <w:link w:val="Header"/>
    <w:uiPriority w:val="33"/>
    <w:rsid w:val="00F72739"/>
    <w:rPr>
      <w:i/>
    </w:rPr>
  </w:style>
  <w:style w:type="character" w:styleId="PageNumber">
    <w:name w:val="page number"/>
    <w:basedOn w:val="DefaultParagraphFont"/>
    <w:uiPriority w:val="33"/>
    <w:rsid w:val="00F72739"/>
    <w:rPr>
      <w:lang w:val="sv-SE"/>
    </w:rPr>
  </w:style>
  <w:style w:type="paragraph" w:styleId="Signature">
    <w:name w:val="Signature"/>
    <w:basedOn w:val="Normal"/>
    <w:link w:val="SignatureChar"/>
    <w:uiPriority w:val="33"/>
    <w:semiHidden/>
    <w:rsid w:val="00F72739"/>
    <w:pPr>
      <w:spacing w:after="0"/>
      <w:ind w:left="4252"/>
    </w:pPr>
  </w:style>
  <w:style w:type="character" w:customStyle="1" w:styleId="SignatureChar">
    <w:name w:val="Signature Char"/>
    <w:basedOn w:val="DefaultParagraphFont"/>
    <w:link w:val="Signature"/>
    <w:uiPriority w:val="33"/>
    <w:semiHidden/>
    <w:rsid w:val="00F72739"/>
  </w:style>
  <w:style w:type="paragraph" w:styleId="EndnoteText">
    <w:name w:val="endnote text"/>
    <w:basedOn w:val="Normal"/>
    <w:link w:val="EndnoteTextChar"/>
    <w:uiPriority w:val="99"/>
    <w:semiHidden/>
    <w:unhideWhenUsed/>
    <w:rsid w:val="00F72739"/>
    <w:pPr>
      <w:spacing w:after="0"/>
    </w:pPr>
    <w:rPr>
      <w:sz w:val="20"/>
      <w:szCs w:val="20"/>
    </w:rPr>
  </w:style>
  <w:style w:type="character" w:customStyle="1" w:styleId="EndnoteTextChar">
    <w:name w:val="Endnote Text Char"/>
    <w:basedOn w:val="DefaultParagraphFont"/>
    <w:link w:val="EndnoteText"/>
    <w:uiPriority w:val="99"/>
    <w:semiHidden/>
    <w:rsid w:val="00F72739"/>
    <w:rPr>
      <w:sz w:val="20"/>
      <w:szCs w:val="20"/>
    </w:rPr>
  </w:style>
  <w:style w:type="character" w:styleId="EndnoteReference">
    <w:name w:val="endnote reference"/>
    <w:basedOn w:val="DefaultParagraphFont"/>
    <w:uiPriority w:val="99"/>
    <w:semiHidden/>
    <w:unhideWhenUsed/>
    <w:rsid w:val="00F72739"/>
    <w:rPr>
      <w:vertAlign w:val="superscript"/>
      <w:lang w:val="sv-SE"/>
    </w:rPr>
  </w:style>
  <w:style w:type="character" w:styleId="Strong">
    <w:name w:val="Strong"/>
    <w:basedOn w:val="DefaultParagraphFont"/>
    <w:uiPriority w:val="22"/>
    <w:semiHidden/>
    <w:qFormat/>
    <w:rsid w:val="00F72739"/>
    <w:rPr>
      <w:b/>
      <w:bCs/>
      <w:lang w:val="sv-SE"/>
    </w:rPr>
  </w:style>
  <w:style w:type="character" w:styleId="IntenseEmphasis">
    <w:name w:val="Intense Emphasis"/>
    <w:basedOn w:val="DefaultParagraphFont"/>
    <w:uiPriority w:val="21"/>
    <w:semiHidden/>
    <w:qFormat/>
    <w:rsid w:val="00F72739"/>
    <w:rPr>
      <w:b/>
      <w:bCs/>
      <w:i/>
      <w:iCs/>
      <w:color w:val="144361" w:themeColor="accent1"/>
      <w:lang w:val="sv-SE"/>
    </w:rPr>
  </w:style>
  <w:style w:type="character" w:styleId="IntenseReference">
    <w:name w:val="Intense Reference"/>
    <w:basedOn w:val="DefaultParagraphFont"/>
    <w:uiPriority w:val="32"/>
    <w:semiHidden/>
    <w:qFormat/>
    <w:rsid w:val="00F72739"/>
    <w:rPr>
      <w:b/>
      <w:bCs/>
      <w:smallCaps/>
      <w:color w:val="428FC2" w:themeColor="accent2"/>
      <w:spacing w:val="5"/>
      <w:u w:val="single"/>
      <w:lang w:val="sv-SE"/>
    </w:rPr>
  </w:style>
  <w:style w:type="paragraph" w:styleId="IntenseQuote">
    <w:name w:val="Intense Quote"/>
    <w:basedOn w:val="Normal"/>
    <w:next w:val="Normal"/>
    <w:link w:val="IntenseQuoteChar"/>
    <w:uiPriority w:val="30"/>
    <w:semiHidden/>
    <w:qFormat/>
    <w:rsid w:val="00F72739"/>
    <w:pPr>
      <w:pBdr>
        <w:bottom w:val="single" w:sz="4" w:space="4" w:color="144361" w:themeColor="accent1"/>
      </w:pBdr>
      <w:spacing w:before="200" w:after="280"/>
      <w:ind w:left="936" w:right="936"/>
    </w:pPr>
    <w:rPr>
      <w:b/>
      <w:bCs/>
      <w:i/>
      <w:iCs/>
      <w:color w:val="144361" w:themeColor="accent1"/>
    </w:rPr>
  </w:style>
  <w:style w:type="character" w:customStyle="1" w:styleId="IntenseQuoteChar">
    <w:name w:val="Intense Quote Char"/>
    <w:basedOn w:val="DefaultParagraphFont"/>
    <w:link w:val="IntenseQuote"/>
    <w:uiPriority w:val="30"/>
    <w:semiHidden/>
    <w:rsid w:val="00F72739"/>
    <w:rPr>
      <w:b/>
      <w:bCs/>
      <w:i/>
      <w:iCs/>
      <w:color w:val="144361" w:themeColor="accent1"/>
    </w:rPr>
  </w:style>
  <w:style w:type="paragraph" w:styleId="Subtitle">
    <w:name w:val="Subtitle"/>
    <w:basedOn w:val="Normal"/>
    <w:link w:val="SubtitleChar"/>
    <w:uiPriority w:val="39"/>
    <w:semiHidden/>
    <w:rsid w:val="00F8752E"/>
    <w:pPr>
      <w:numPr>
        <w:ilvl w:val="1"/>
      </w:numPr>
      <w:spacing w:after="80" w:line="300" w:lineRule="atLeast"/>
      <w:jc w:val="left"/>
    </w:pPr>
    <w:rPr>
      <w:rFonts w:ascii="Arial Narrow" w:eastAsiaTheme="majorEastAsia" w:hAnsi="Arial Narrow" w:cstheme="majorBidi"/>
      <w:b/>
      <w:iCs/>
      <w:color w:val="19638A"/>
      <w:spacing w:val="15"/>
      <w:sz w:val="26"/>
      <w:szCs w:val="24"/>
    </w:rPr>
  </w:style>
  <w:style w:type="character" w:customStyle="1" w:styleId="SubtitleChar">
    <w:name w:val="Subtitle Char"/>
    <w:basedOn w:val="DefaultParagraphFont"/>
    <w:link w:val="Subtitle"/>
    <w:uiPriority w:val="39"/>
    <w:semiHidden/>
    <w:rsid w:val="008548BA"/>
    <w:rPr>
      <w:rFonts w:ascii="Arial Narrow" w:eastAsiaTheme="majorEastAsia" w:hAnsi="Arial Narrow" w:cstheme="majorBidi"/>
      <w:b/>
      <w:iCs/>
      <w:color w:val="19638A"/>
      <w:spacing w:val="15"/>
      <w:sz w:val="26"/>
      <w:szCs w:val="24"/>
    </w:rPr>
  </w:style>
  <w:style w:type="table" w:styleId="TableGrid">
    <w:name w:val="Table Grid"/>
    <w:basedOn w:val="TableNormal"/>
    <w:rsid w:val="00F72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
    <w:name w:val="Adress"/>
    <w:uiPriority w:val="99"/>
    <w:semiHidden/>
    <w:rsid w:val="00F72739"/>
    <w:pPr>
      <w:spacing w:after="0" w:line="300" w:lineRule="atLeast"/>
    </w:pPr>
    <w:rPr>
      <w:rFonts w:ascii="Arial Narrow" w:hAnsi="Arial Narrow"/>
      <w:sz w:val="21"/>
    </w:rPr>
  </w:style>
  <w:style w:type="paragraph" w:customStyle="1" w:styleId="Mvh">
    <w:name w:val="Mvh"/>
    <w:basedOn w:val="Normal"/>
    <w:next w:val="Normal"/>
    <w:uiPriority w:val="99"/>
    <w:semiHidden/>
    <w:rsid w:val="00F72739"/>
    <w:pPr>
      <w:spacing w:before="240" w:after="720"/>
    </w:pPr>
  </w:style>
  <w:style w:type="table" w:styleId="TableSubtle1">
    <w:name w:val="Table Subtle 1"/>
    <w:basedOn w:val="TableNormal"/>
    <w:uiPriority w:val="99"/>
    <w:semiHidden/>
    <w:unhideWhenUsed/>
    <w:rsid w:val="00F7273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273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F7273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F7273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27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273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ColorfulList">
    <w:name w:val="Colorful List"/>
    <w:basedOn w:val="TableNormal"/>
    <w:uiPriority w:val="72"/>
    <w:rsid w:val="00F7273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2729D" w:themeFill="accent2" w:themeFillShade="CC"/>
      </w:tcPr>
    </w:tblStylePr>
    <w:tblStylePr w:type="lastRow">
      <w:rPr>
        <w:b/>
        <w:bCs/>
        <w:color w:val="32729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72739"/>
    <w:pPr>
      <w:spacing w:after="0" w:line="240" w:lineRule="auto"/>
    </w:pPr>
    <w:rPr>
      <w:color w:val="000000" w:themeColor="text1"/>
    </w:rPr>
    <w:tblPr>
      <w:tblStyleRowBandSize w:val="1"/>
      <w:tblStyleColBandSize w:val="1"/>
    </w:tblPr>
    <w:tcPr>
      <w:shd w:val="clear" w:color="auto" w:fill="DEEEF8" w:themeFill="accent1" w:themeFillTint="19"/>
    </w:tcPr>
    <w:tblStylePr w:type="firstRow">
      <w:rPr>
        <w:b/>
        <w:bCs/>
        <w:color w:val="FFFFFF" w:themeColor="background1"/>
      </w:rPr>
      <w:tblPr/>
      <w:tcPr>
        <w:tcBorders>
          <w:bottom w:val="single" w:sz="12" w:space="0" w:color="FFFFFF" w:themeColor="background1"/>
        </w:tcBorders>
        <w:shd w:val="clear" w:color="auto" w:fill="32729D" w:themeFill="accent2" w:themeFillShade="CC"/>
      </w:tcPr>
    </w:tblStylePr>
    <w:tblStylePr w:type="lastRow">
      <w:rPr>
        <w:b/>
        <w:bCs/>
        <w:color w:val="32729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5EE" w:themeFill="accent1" w:themeFillTint="3F"/>
      </w:tcPr>
    </w:tblStylePr>
    <w:tblStylePr w:type="band1Horz">
      <w:tblPr/>
      <w:tcPr>
        <w:shd w:val="clear" w:color="auto" w:fill="BDDDF1" w:themeFill="accent1" w:themeFillTint="33"/>
      </w:tcPr>
    </w:tblStylePr>
  </w:style>
  <w:style w:type="table" w:styleId="ColorfulList-Accent2">
    <w:name w:val="Colorful List Accent 2"/>
    <w:basedOn w:val="TableNormal"/>
    <w:uiPriority w:val="72"/>
    <w:rsid w:val="00F72739"/>
    <w:pPr>
      <w:spacing w:after="0" w:line="240" w:lineRule="auto"/>
    </w:pPr>
    <w:rPr>
      <w:color w:val="000000" w:themeColor="text1"/>
    </w:rPr>
    <w:tblPr>
      <w:tblStyleRowBandSize w:val="1"/>
      <w:tblStyleColBandSize w:val="1"/>
    </w:tblPr>
    <w:tcPr>
      <w:shd w:val="clear" w:color="auto" w:fill="ECF3F9" w:themeFill="accent2" w:themeFillTint="19"/>
    </w:tcPr>
    <w:tblStylePr w:type="firstRow">
      <w:rPr>
        <w:b/>
        <w:bCs/>
        <w:color w:val="FFFFFF" w:themeColor="background1"/>
      </w:rPr>
      <w:tblPr/>
      <w:tcPr>
        <w:tcBorders>
          <w:bottom w:val="single" w:sz="12" w:space="0" w:color="FFFFFF" w:themeColor="background1"/>
        </w:tcBorders>
        <w:shd w:val="clear" w:color="auto" w:fill="32729D" w:themeFill="accent2" w:themeFillShade="CC"/>
      </w:tcPr>
    </w:tblStylePr>
    <w:tblStylePr w:type="lastRow">
      <w:rPr>
        <w:b/>
        <w:bCs/>
        <w:color w:val="32729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3F0" w:themeFill="accent2" w:themeFillTint="3F"/>
      </w:tcPr>
    </w:tblStylePr>
    <w:tblStylePr w:type="band1Horz">
      <w:tblPr/>
      <w:tcPr>
        <w:shd w:val="clear" w:color="auto" w:fill="D9E8F2" w:themeFill="accent2" w:themeFillTint="33"/>
      </w:tcPr>
    </w:tblStylePr>
  </w:style>
  <w:style w:type="table" w:styleId="ColorfulList-Accent3">
    <w:name w:val="Colorful List Accent 3"/>
    <w:basedOn w:val="TableNormal"/>
    <w:uiPriority w:val="72"/>
    <w:rsid w:val="00F72739"/>
    <w:pPr>
      <w:spacing w:after="0" w:line="240" w:lineRule="auto"/>
    </w:pPr>
    <w:rPr>
      <w:color w:val="000000" w:themeColor="text1"/>
    </w:rPr>
    <w:tblPr>
      <w:tblStyleRowBandSize w:val="1"/>
      <w:tblStyleColBandSize w:val="1"/>
    </w:tblPr>
    <w:tcPr>
      <w:shd w:val="clear" w:color="auto" w:fill="ECEBEB" w:themeFill="accent3" w:themeFillTint="19"/>
    </w:tcPr>
    <w:tblStylePr w:type="firstRow">
      <w:rPr>
        <w:b/>
        <w:bCs/>
        <w:color w:val="FFFFFF" w:themeColor="background1"/>
      </w:rPr>
      <w:tblPr/>
      <w:tcPr>
        <w:tcBorders>
          <w:bottom w:val="single" w:sz="12" w:space="0" w:color="FFFFFF" w:themeColor="background1"/>
        </w:tcBorders>
        <w:shd w:val="clear" w:color="auto" w:fill="6A6A6A" w:themeFill="accent4" w:themeFillShade="CC"/>
      </w:tcPr>
    </w:tblStylePr>
    <w:tblStylePr w:type="lastRow">
      <w:rPr>
        <w:b/>
        <w:bCs/>
        <w:color w:val="6A6A6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ECE" w:themeFill="accent3" w:themeFillTint="3F"/>
      </w:tcPr>
    </w:tblStylePr>
    <w:tblStylePr w:type="band1Horz">
      <w:tblPr/>
      <w:tcPr>
        <w:shd w:val="clear" w:color="auto" w:fill="D8D7D7" w:themeFill="accent3" w:themeFillTint="33"/>
      </w:tcPr>
    </w:tblStylePr>
  </w:style>
  <w:style w:type="table" w:styleId="ColorfulList-Accent4">
    <w:name w:val="Colorful List Accent 4"/>
    <w:basedOn w:val="TableNormal"/>
    <w:uiPriority w:val="72"/>
    <w:rsid w:val="00F72739"/>
    <w:pPr>
      <w:spacing w:after="0" w:line="240" w:lineRule="auto"/>
    </w:pPr>
    <w:rPr>
      <w:color w:val="000000" w:themeColor="text1"/>
    </w:rPr>
    <w:tblPr>
      <w:tblStyleRowBandSize w:val="1"/>
      <w:tblStyleColBandSize w:val="1"/>
    </w:tblPr>
    <w:tcPr>
      <w:shd w:val="clear" w:color="auto" w:fill="F3F3F3" w:themeFill="accent4" w:themeFillTint="19"/>
    </w:tcPr>
    <w:tblStylePr w:type="firstRow">
      <w:rPr>
        <w:b/>
        <w:bCs/>
        <w:color w:val="FFFFFF" w:themeColor="background1"/>
      </w:rPr>
      <w:tblPr/>
      <w:tcPr>
        <w:tcBorders>
          <w:bottom w:val="single" w:sz="12" w:space="0" w:color="FFFFFF" w:themeColor="background1"/>
        </w:tcBorders>
        <w:shd w:val="clear" w:color="auto" w:fill="303030" w:themeFill="accent3" w:themeFillShade="CC"/>
      </w:tcPr>
    </w:tblStylePr>
    <w:tblStylePr w:type="lastRow">
      <w:rPr>
        <w:b/>
        <w:bCs/>
        <w:color w:val="3030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0E0" w:themeFill="accent4" w:themeFillTint="3F"/>
      </w:tcPr>
    </w:tblStylePr>
    <w:tblStylePr w:type="band1Horz">
      <w:tblPr/>
      <w:tcPr>
        <w:shd w:val="clear" w:color="auto" w:fill="E6E6E6" w:themeFill="accent4" w:themeFillTint="33"/>
      </w:tcPr>
    </w:tblStylePr>
  </w:style>
  <w:style w:type="table" w:styleId="ColorfulList-Accent5">
    <w:name w:val="Colorful List Accent 5"/>
    <w:basedOn w:val="TableNormal"/>
    <w:uiPriority w:val="72"/>
    <w:rsid w:val="00F72739"/>
    <w:pPr>
      <w:spacing w:after="0" w:line="240" w:lineRule="auto"/>
    </w:pPr>
    <w:rPr>
      <w:color w:val="000000" w:themeColor="text1"/>
    </w:rPr>
    <w:tblPr>
      <w:tblStyleRowBandSize w:val="1"/>
      <w:tblStyleColBandSize w:val="1"/>
    </w:tblPr>
    <w:tcPr>
      <w:shd w:val="clear" w:color="auto" w:fill="DCF4FF" w:themeFill="accent5" w:themeFillTint="19"/>
    </w:tcPr>
    <w:tblStylePr w:type="firstRow">
      <w:rPr>
        <w:b/>
        <w:bCs/>
        <w:color w:val="FFFFFF" w:themeColor="background1"/>
      </w:rPr>
      <w:tblPr/>
      <w:tcPr>
        <w:tcBorders>
          <w:bottom w:val="single" w:sz="12" w:space="0" w:color="FFFFFF" w:themeColor="background1"/>
        </w:tcBorders>
        <w:shd w:val="clear" w:color="auto" w:fill="10354D" w:themeFill="accent6" w:themeFillShade="CC"/>
      </w:tcPr>
    </w:tblStylePr>
    <w:tblStylePr w:type="lastRow">
      <w:rPr>
        <w:b/>
        <w:bCs/>
        <w:color w:val="10354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E4FF" w:themeFill="accent5" w:themeFillTint="3F"/>
      </w:tcPr>
    </w:tblStylePr>
    <w:tblStylePr w:type="band1Horz">
      <w:tblPr/>
      <w:tcPr>
        <w:shd w:val="clear" w:color="auto" w:fill="B9E9FF" w:themeFill="accent5" w:themeFillTint="33"/>
      </w:tcPr>
    </w:tblStylePr>
  </w:style>
  <w:style w:type="table" w:styleId="ColorfulList-Accent6">
    <w:name w:val="Colorful List Accent 6"/>
    <w:basedOn w:val="TableNormal"/>
    <w:uiPriority w:val="72"/>
    <w:rsid w:val="00F72739"/>
    <w:pPr>
      <w:spacing w:after="0" w:line="240" w:lineRule="auto"/>
    </w:pPr>
    <w:rPr>
      <w:color w:val="000000" w:themeColor="text1"/>
    </w:rPr>
    <w:tblPr>
      <w:tblStyleRowBandSize w:val="1"/>
      <w:tblStyleColBandSize w:val="1"/>
    </w:tblPr>
    <w:tcPr>
      <w:shd w:val="clear" w:color="auto" w:fill="DEEEF8" w:themeFill="accent6" w:themeFillTint="19"/>
    </w:tcPr>
    <w:tblStylePr w:type="firstRow">
      <w:rPr>
        <w:b/>
        <w:bCs/>
        <w:color w:val="FFFFFF" w:themeColor="background1"/>
      </w:rPr>
      <w:tblPr/>
      <w:tcPr>
        <w:tcBorders>
          <w:bottom w:val="single" w:sz="12" w:space="0" w:color="FFFFFF" w:themeColor="background1"/>
        </w:tcBorders>
        <w:shd w:val="clear" w:color="auto" w:fill="005980" w:themeFill="accent5" w:themeFillShade="CC"/>
      </w:tcPr>
    </w:tblStylePr>
    <w:tblStylePr w:type="lastRow">
      <w:rPr>
        <w:b/>
        <w:bCs/>
        <w:color w:val="0059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5EE" w:themeFill="accent6" w:themeFillTint="3F"/>
      </w:tcPr>
    </w:tblStylePr>
    <w:tblStylePr w:type="band1Horz">
      <w:tblPr/>
      <w:tcPr>
        <w:shd w:val="clear" w:color="auto" w:fill="BDDDF1" w:themeFill="accent6" w:themeFillTint="33"/>
      </w:tcPr>
    </w:tblStylePr>
  </w:style>
  <w:style w:type="table" w:styleId="ColorfulShading">
    <w:name w:val="Colorful Shading"/>
    <w:basedOn w:val="TableNormal"/>
    <w:uiPriority w:val="71"/>
    <w:rsid w:val="00F72739"/>
    <w:pPr>
      <w:spacing w:after="0" w:line="240" w:lineRule="auto"/>
    </w:pPr>
    <w:rPr>
      <w:color w:val="000000" w:themeColor="text1"/>
    </w:rPr>
    <w:tblPr>
      <w:tblStyleRowBandSize w:val="1"/>
      <w:tblStyleColBandSize w:val="1"/>
      <w:tblBorders>
        <w:top w:val="single" w:sz="24" w:space="0" w:color="428FC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28FC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72739"/>
    <w:pPr>
      <w:spacing w:after="0" w:line="240" w:lineRule="auto"/>
    </w:pPr>
    <w:rPr>
      <w:color w:val="000000" w:themeColor="text1"/>
    </w:rPr>
    <w:tblPr>
      <w:tblStyleRowBandSize w:val="1"/>
      <w:tblStyleColBandSize w:val="1"/>
      <w:tblBorders>
        <w:top w:val="single" w:sz="24" w:space="0" w:color="428FC2" w:themeColor="accent2"/>
        <w:left w:val="single" w:sz="4" w:space="0" w:color="144361" w:themeColor="accent1"/>
        <w:bottom w:val="single" w:sz="4" w:space="0" w:color="144361" w:themeColor="accent1"/>
        <w:right w:val="single" w:sz="4" w:space="0" w:color="144361" w:themeColor="accent1"/>
        <w:insideH w:val="single" w:sz="4" w:space="0" w:color="FFFFFF" w:themeColor="background1"/>
        <w:insideV w:val="single" w:sz="4" w:space="0" w:color="FFFFFF" w:themeColor="background1"/>
      </w:tblBorders>
    </w:tblPr>
    <w:tcPr>
      <w:shd w:val="clear" w:color="auto" w:fill="DEEEF8" w:themeFill="accent1" w:themeFillTint="19"/>
    </w:tcPr>
    <w:tblStylePr w:type="firstRow">
      <w:rPr>
        <w:b/>
        <w:bCs/>
      </w:rPr>
      <w:tblPr/>
      <w:tcPr>
        <w:tcBorders>
          <w:top w:val="nil"/>
          <w:left w:val="nil"/>
          <w:bottom w:val="single" w:sz="24" w:space="0" w:color="428FC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73A" w:themeFill="accent1" w:themeFillShade="99"/>
      </w:tcPr>
    </w:tblStylePr>
    <w:tblStylePr w:type="firstCol">
      <w:rPr>
        <w:color w:val="FFFFFF" w:themeColor="background1"/>
      </w:rPr>
      <w:tblPr/>
      <w:tcPr>
        <w:tcBorders>
          <w:top w:val="nil"/>
          <w:left w:val="nil"/>
          <w:bottom w:val="nil"/>
          <w:right w:val="nil"/>
          <w:insideH w:val="single" w:sz="4" w:space="0" w:color="0C273A" w:themeColor="accent1" w:themeShade="99"/>
          <w:insideV w:val="nil"/>
        </w:tcBorders>
        <w:shd w:val="clear" w:color="auto" w:fill="0C273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273A" w:themeFill="accent1" w:themeFillShade="99"/>
      </w:tcPr>
    </w:tblStylePr>
    <w:tblStylePr w:type="band1Vert">
      <w:tblPr/>
      <w:tcPr>
        <w:shd w:val="clear" w:color="auto" w:fill="7CBBE4" w:themeFill="accent1" w:themeFillTint="66"/>
      </w:tcPr>
    </w:tblStylePr>
    <w:tblStylePr w:type="band1Horz">
      <w:tblPr/>
      <w:tcPr>
        <w:shd w:val="clear" w:color="auto" w:fill="5CAA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72739"/>
    <w:pPr>
      <w:spacing w:after="0" w:line="240" w:lineRule="auto"/>
    </w:pPr>
    <w:rPr>
      <w:color w:val="000000" w:themeColor="text1"/>
    </w:rPr>
    <w:tblPr>
      <w:tblStyleRowBandSize w:val="1"/>
      <w:tblStyleColBandSize w:val="1"/>
      <w:tblBorders>
        <w:top w:val="single" w:sz="24" w:space="0" w:color="428FC2" w:themeColor="accent2"/>
        <w:left w:val="single" w:sz="4" w:space="0" w:color="428FC2" w:themeColor="accent2"/>
        <w:bottom w:val="single" w:sz="4" w:space="0" w:color="428FC2" w:themeColor="accent2"/>
        <w:right w:val="single" w:sz="4" w:space="0" w:color="428FC2" w:themeColor="accent2"/>
        <w:insideH w:val="single" w:sz="4" w:space="0" w:color="FFFFFF" w:themeColor="background1"/>
        <w:insideV w:val="single" w:sz="4" w:space="0" w:color="FFFFFF" w:themeColor="background1"/>
      </w:tblBorders>
    </w:tblPr>
    <w:tcPr>
      <w:shd w:val="clear" w:color="auto" w:fill="ECF3F9" w:themeFill="accent2" w:themeFillTint="19"/>
    </w:tcPr>
    <w:tblStylePr w:type="firstRow">
      <w:rPr>
        <w:b/>
        <w:bCs/>
      </w:rPr>
      <w:tblPr/>
      <w:tcPr>
        <w:tcBorders>
          <w:top w:val="nil"/>
          <w:left w:val="nil"/>
          <w:bottom w:val="single" w:sz="24" w:space="0" w:color="428FC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575" w:themeFill="accent2" w:themeFillShade="99"/>
      </w:tcPr>
    </w:tblStylePr>
    <w:tblStylePr w:type="firstCol">
      <w:rPr>
        <w:color w:val="FFFFFF" w:themeColor="background1"/>
      </w:rPr>
      <w:tblPr/>
      <w:tcPr>
        <w:tcBorders>
          <w:top w:val="nil"/>
          <w:left w:val="nil"/>
          <w:bottom w:val="nil"/>
          <w:right w:val="nil"/>
          <w:insideH w:val="single" w:sz="4" w:space="0" w:color="265575" w:themeColor="accent2" w:themeShade="99"/>
          <w:insideV w:val="nil"/>
        </w:tcBorders>
        <w:shd w:val="clear" w:color="auto" w:fill="26557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5575" w:themeFill="accent2" w:themeFillShade="99"/>
      </w:tcPr>
    </w:tblStylePr>
    <w:tblStylePr w:type="band1Vert">
      <w:tblPr/>
      <w:tcPr>
        <w:shd w:val="clear" w:color="auto" w:fill="B3D2E6" w:themeFill="accent2" w:themeFillTint="66"/>
      </w:tcPr>
    </w:tblStylePr>
    <w:tblStylePr w:type="band1Horz">
      <w:tblPr/>
      <w:tcPr>
        <w:shd w:val="clear" w:color="auto" w:fill="A0C7E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72739"/>
    <w:pPr>
      <w:spacing w:after="0" w:line="240" w:lineRule="auto"/>
    </w:pPr>
    <w:rPr>
      <w:color w:val="000000" w:themeColor="text1"/>
    </w:rPr>
    <w:tblPr>
      <w:tblStyleRowBandSize w:val="1"/>
      <w:tblStyleColBandSize w:val="1"/>
      <w:tblBorders>
        <w:top w:val="single" w:sz="24" w:space="0" w:color="858585" w:themeColor="accent4"/>
        <w:left w:val="single" w:sz="4" w:space="0" w:color="3D3C3C" w:themeColor="accent3"/>
        <w:bottom w:val="single" w:sz="4" w:space="0" w:color="3D3C3C" w:themeColor="accent3"/>
        <w:right w:val="single" w:sz="4" w:space="0" w:color="3D3C3C" w:themeColor="accent3"/>
        <w:insideH w:val="single" w:sz="4" w:space="0" w:color="FFFFFF" w:themeColor="background1"/>
        <w:insideV w:val="single" w:sz="4" w:space="0" w:color="FFFFFF" w:themeColor="background1"/>
      </w:tblBorders>
    </w:tblPr>
    <w:tcPr>
      <w:shd w:val="clear" w:color="auto" w:fill="ECEBEB" w:themeFill="accent3" w:themeFillTint="19"/>
    </w:tcPr>
    <w:tblStylePr w:type="firstRow">
      <w:rPr>
        <w:b/>
        <w:bCs/>
      </w:rPr>
      <w:tblPr/>
      <w:tcPr>
        <w:tcBorders>
          <w:top w:val="nil"/>
          <w:left w:val="nil"/>
          <w:bottom w:val="single" w:sz="24" w:space="0" w:color="85858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2424" w:themeFill="accent3" w:themeFillShade="99"/>
      </w:tcPr>
    </w:tblStylePr>
    <w:tblStylePr w:type="firstCol">
      <w:rPr>
        <w:color w:val="FFFFFF" w:themeColor="background1"/>
      </w:rPr>
      <w:tblPr/>
      <w:tcPr>
        <w:tcBorders>
          <w:top w:val="nil"/>
          <w:left w:val="nil"/>
          <w:bottom w:val="nil"/>
          <w:right w:val="nil"/>
          <w:insideH w:val="single" w:sz="4" w:space="0" w:color="242424" w:themeColor="accent3" w:themeShade="99"/>
          <w:insideV w:val="nil"/>
        </w:tcBorders>
        <w:shd w:val="clear" w:color="auto" w:fill="2424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2424" w:themeFill="accent3" w:themeFillShade="99"/>
      </w:tcPr>
    </w:tblStylePr>
    <w:tblStylePr w:type="band1Vert">
      <w:tblPr/>
      <w:tcPr>
        <w:shd w:val="clear" w:color="auto" w:fill="B1B0B0" w:themeFill="accent3" w:themeFillTint="66"/>
      </w:tcPr>
    </w:tblStylePr>
    <w:tblStylePr w:type="band1Horz">
      <w:tblPr/>
      <w:tcPr>
        <w:shd w:val="clear" w:color="auto" w:fill="9E9D9D" w:themeFill="accent3" w:themeFillTint="7F"/>
      </w:tcPr>
    </w:tblStylePr>
  </w:style>
  <w:style w:type="table" w:styleId="ColorfulShading-Accent4">
    <w:name w:val="Colorful Shading Accent 4"/>
    <w:basedOn w:val="TableNormal"/>
    <w:uiPriority w:val="71"/>
    <w:rsid w:val="00F72739"/>
    <w:pPr>
      <w:spacing w:after="0" w:line="240" w:lineRule="auto"/>
    </w:pPr>
    <w:rPr>
      <w:color w:val="000000" w:themeColor="text1"/>
    </w:rPr>
    <w:tblPr>
      <w:tblStyleRowBandSize w:val="1"/>
      <w:tblStyleColBandSize w:val="1"/>
      <w:tblBorders>
        <w:top w:val="single" w:sz="24" w:space="0" w:color="3D3C3C" w:themeColor="accent3"/>
        <w:left w:val="single" w:sz="4" w:space="0" w:color="858585" w:themeColor="accent4"/>
        <w:bottom w:val="single" w:sz="4" w:space="0" w:color="858585" w:themeColor="accent4"/>
        <w:right w:val="single" w:sz="4" w:space="0" w:color="858585" w:themeColor="accent4"/>
        <w:insideH w:val="single" w:sz="4" w:space="0" w:color="FFFFFF" w:themeColor="background1"/>
        <w:insideV w:val="single" w:sz="4" w:space="0" w:color="FFFFFF" w:themeColor="background1"/>
      </w:tblBorders>
    </w:tblPr>
    <w:tcPr>
      <w:shd w:val="clear" w:color="auto" w:fill="F3F3F3" w:themeFill="accent4" w:themeFillTint="19"/>
    </w:tcPr>
    <w:tblStylePr w:type="firstRow">
      <w:rPr>
        <w:b/>
        <w:bCs/>
      </w:rPr>
      <w:tblPr/>
      <w:tcPr>
        <w:tcBorders>
          <w:top w:val="nil"/>
          <w:left w:val="nil"/>
          <w:bottom w:val="single" w:sz="24" w:space="0" w:color="3D3C3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4F4F" w:themeFill="accent4" w:themeFillShade="99"/>
      </w:tcPr>
    </w:tblStylePr>
    <w:tblStylePr w:type="firstCol">
      <w:rPr>
        <w:color w:val="FFFFFF" w:themeColor="background1"/>
      </w:rPr>
      <w:tblPr/>
      <w:tcPr>
        <w:tcBorders>
          <w:top w:val="nil"/>
          <w:left w:val="nil"/>
          <w:bottom w:val="nil"/>
          <w:right w:val="nil"/>
          <w:insideH w:val="single" w:sz="4" w:space="0" w:color="4F4F4F" w:themeColor="accent4" w:themeShade="99"/>
          <w:insideV w:val="nil"/>
        </w:tcBorders>
        <w:shd w:val="clear" w:color="auto" w:fill="4F4F4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4F4F" w:themeFill="accent4" w:themeFillShade="99"/>
      </w:tcPr>
    </w:tblStylePr>
    <w:tblStylePr w:type="band1Vert">
      <w:tblPr/>
      <w:tcPr>
        <w:shd w:val="clear" w:color="auto" w:fill="CECECE" w:themeFill="accent4" w:themeFillTint="66"/>
      </w:tcPr>
    </w:tblStylePr>
    <w:tblStylePr w:type="band1Horz">
      <w:tblPr/>
      <w:tcPr>
        <w:shd w:val="clear" w:color="auto" w:fill="C2C2C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72739"/>
    <w:pPr>
      <w:spacing w:after="0" w:line="240" w:lineRule="auto"/>
    </w:pPr>
    <w:rPr>
      <w:color w:val="000000" w:themeColor="text1"/>
    </w:rPr>
    <w:tblPr>
      <w:tblStyleRowBandSize w:val="1"/>
      <w:tblStyleColBandSize w:val="1"/>
      <w:tblBorders>
        <w:top w:val="single" w:sz="24" w:space="0" w:color="144361" w:themeColor="accent6"/>
        <w:left w:val="single" w:sz="4" w:space="0" w:color="0071A1" w:themeColor="accent5"/>
        <w:bottom w:val="single" w:sz="4" w:space="0" w:color="0071A1" w:themeColor="accent5"/>
        <w:right w:val="single" w:sz="4" w:space="0" w:color="0071A1" w:themeColor="accent5"/>
        <w:insideH w:val="single" w:sz="4" w:space="0" w:color="FFFFFF" w:themeColor="background1"/>
        <w:insideV w:val="single" w:sz="4" w:space="0" w:color="FFFFFF" w:themeColor="background1"/>
      </w:tblBorders>
    </w:tblPr>
    <w:tcPr>
      <w:shd w:val="clear" w:color="auto" w:fill="DCF4FF" w:themeFill="accent5" w:themeFillTint="19"/>
    </w:tcPr>
    <w:tblStylePr w:type="firstRow">
      <w:rPr>
        <w:b/>
        <w:bCs/>
      </w:rPr>
      <w:tblPr/>
      <w:tcPr>
        <w:tcBorders>
          <w:top w:val="nil"/>
          <w:left w:val="nil"/>
          <w:bottom w:val="single" w:sz="24" w:space="0" w:color="14436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60" w:themeFill="accent5" w:themeFillShade="99"/>
      </w:tcPr>
    </w:tblStylePr>
    <w:tblStylePr w:type="firstCol">
      <w:rPr>
        <w:color w:val="FFFFFF" w:themeColor="background1"/>
      </w:rPr>
      <w:tblPr/>
      <w:tcPr>
        <w:tcBorders>
          <w:top w:val="nil"/>
          <w:left w:val="nil"/>
          <w:bottom w:val="nil"/>
          <w:right w:val="nil"/>
          <w:insideH w:val="single" w:sz="4" w:space="0" w:color="004360" w:themeColor="accent5" w:themeShade="99"/>
          <w:insideV w:val="nil"/>
        </w:tcBorders>
        <w:shd w:val="clear" w:color="auto" w:fill="0043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4360" w:themeFill="accent5" w:themeFillShade="99"/>
      </w:tcPr>
    </w:tblStylePr>
    <w:tblStylePr w:type="band1Vert">
      <w:tblPr/>
      <w:tcPr>
        <w:shd w:val="clear" w:color="auto" w:fill="73D4FF" w:themeFill="accent5" w:themeFillTint="66"/>
      </w:tcPr>
    </w:tblStylePr>
    <w:tblStylePr w:type="band1Horz">
      <w:tblPr/>
      <w:tcPr>
        <w:shd w:val="clear" w:color="auto" w:fill="51C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72739"/>
    <w:pPr>
      <w:spacing w:after="0" w:line="240" w:lineRule="auto"/>
    </w:pPr>
    <w:rPr>
      <w:color w:val="000000" w:themeColor="text1"/>
    </w:rPr>
    <w:tblPr>
      <w:tblStyleRowBandSize w:val="1"/>
      <w:tblStyleColBandSize w:val="1"/>
      <w:tblBorders>
        <w:top w:val="single" w:sz="24" w:space="0" w:color="0071A1" w:themeColor="accent5"/>
        <w:left w:val="single" w:sz="4" w:space="0" w:color="144361" w:themeColor="accent6"/>
        <w:bottom w:val="single" w:sz="4" w:space="0" w:color="144361" w:themeColor="accent6"/>
        <w:right w:val="single" w:sz="4" w:space="0" w:color="144361" w:themeColor="accent6"/>
        <w:insideH w:val="single" w:sz="4" w:space="0" w:color="FFFFFF" w:themeColor="background1"/>
        <w:insideV w:val="single" w:sz="4" w:space="0" w:color="FFFFFF" w:themeColor="background1"/>
      </w:tblBorders>
    </w:tblPr>
    <w:tcPr>
      <w:shd w:val="clear" w:color="auto" w:fill="DEEEF8" w:themeFill="accent6" w:themeFillTint="19"/>
    </w:tcPr>
    <w:tblStylePr w:type="firstRow">
      <w:rPr>
        <w:b/>
        <w:bCs/>
      </w:rPr>
      <w:tblPr/>
      <w:tcPr>
        <w:tcBorders>
          <w:top w:val="nil"/>
          <w:left w:val="nil"/>
          <w:bottom w:val="single" w:sz="24" w:space="0" w:color="0071A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273A" w:themeFill="accent6" w:themeFillShade="99"/>
      </w:tcPr>
    </w:tblStylePr>
    <w:tblStylePr w:type="firstCol">
      <w:rPr>
        <w:color w:val="FFFFFF" w:themeColor="background1"/>
      </w:rPr>
      <w:tblPr/>
      <w:tcPr>
        <w:tcBorders>
          <w:top w:val="nil"/>
          <w:left w:val="nil"/>
          <w:bottom w:val="nil"/>
          <w:right w:val="nil"/>
          <w:insideH w:val="single" w:sz="4" w:space="0" w:color="0C273A" w:themeColor="accent6" w:themeShade="99"/>
          <w:insideV w:val="nil"/>
        </w:tcBorders>
        <w:shd w:val="clear" w:color="auto" w:fill="0C273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C273A" w:themeFill="accent6" w:themeFillShade="99"/>
      </w:tcPr>
    </w:tblStylePr>
    <w:tblStylePr w:type="band1Vert">
      <w:tblPr/>
      <w:tcPr>
        <w:shd w:val="clear" w:color="auto" w:fill="7CBBE4" w:themeFill="accent6" w:themeFillTint="66"/>
      </w:tcPr>
    </w:tblStylePr>
    <w:tblStylePr w:type="band1Horz">
      <w:tblPr/>
      <w:tcPr>
        <w:shd w:val="clear" w:color="auto" w:fill="5CAADD"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F7273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273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273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Grid">
    <w:name w:val="Colorful Grid"/>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DDDF1" w:themeFill="accent1" w:themeFillTint="33"/>
    </w:tcPr>
    <w:tblStylePr w:type="firstRow">
      <w:rPr>
        <w:b/>
        <w:bCs/>
      </w:rPr>
      <w:tblPr/>
      <w:tcPr>
        <w:shd w:val="clear" w:color="auto" w:fill="7CBBE4" w:themeFill="accent1" w:themeFillTint="66"/>
      </w:tcPr>
    </w:tblStylePr>
    <w:tblStylePr w:type="lastRow">
      <w:rPr>
        <w:b/>
        <w:bCs/>
        <w:color w:val="000000" w:themeColor="text1"/>
      </w:rPr>
      <w:tblPr/>
      <w:tcPr>
        <w:shd w:val="clear" w:color="auto" w:fill="7CBBE4" w:themeFill="accent1" w:themeFillTint="66"/>
      </w:tcPr>
    </w:tblStylePr>
    <w:tblStylePr w:type="firstCol">
      <w:rPr>
        <w:color w:val="FFFFFF" w:themeColor="background1"/>
      </w:rPr>
      <w:tblPr/>
      <w:tcPr>
        <w:shd w:val="clear" w:color="auto" w:fill="0F3148" w:themeFill="accent1" w:themeFillShade="BF"/>
      </w:tcPr>
    </w:tblStylePr>
    <w:tblStylePr w:type="lastCol">
      <w:rPr>
        <w:color w:val="FFFFFF" w:themeColor="background1"/>
      </w:rPr>
      <w:tblPr/>
      <w:tcPr>
        <w:shd w:val="clear" w:color="auto" w:fill="0F3148" w:themeFill="accent1" w:themeFillShade="BF"/>
      </w:tcPr>
    </w:tblStylePr>
    <w:tblStylePr w:type="band1Vert">
      <w:tblPr/>
      <w:tcPr>
        <w:shd w:val="clear" w:color="auto" w:fill="5CAADD" w:themeFill="accent1" w:themeFillTint="7F"/>
      </w:tcPr>
    </w:tblStylePr>
    <w:tblStylePr w:type="band1Horz">
      <w:tblPr/>
      <w:tcPr>
        <w:shd w:val="clear" w:color="auto" w:fill="5CAADD" w:themeFill="accent1" w:themeFillTint="7F"/>
      </w:tcPr>
    </w:tblStylePr>
  </w:style>
  <w:style w:type="table" w:styleId="ColorfulGrid-Accent2">
    <w:name w:val="Colorful Grid Accent 2"/>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8F2" w:themeFill="accent2" w:themeFillTint="33"/>
    </w:tcPr>
    <w:tblStylePr w:type="firstRow">
      <w:rPr>
        <w:b/>
        <w:bCs/>
      </w:rPr>
      <w:tblPr/>
      <w:tcPr>
        <w:shd w:val="clear" w:color="auto" w:fill="B3D2E6" w:themeFill="accent2" w:themeFillTint="66"/>
      </w:tcPr>
    </w:tblStylePr>
    <w:tblStylePr w:type="lastRow">
      <w:rPr>
        <w:b/>
        <w:bCs/>
        <w:color w:val="000000" w:themeColor="text1"/>
      </w:rPr>
      <w:tblPr/>
      <w:tcPr>
        <w:shd w:val="clear" w:color="auto" w:fill="B3D2E6" w:themeFill="accent2" w:themeFillTint="66"/>
      </w:tcPr>
    </w:tblStylePr>
    <w:tblStylePr w:type="firstCol">
      <w:rPr>
        <w:color w:val="FFFFFF" w:themeColor="background1"/>
      </w:rPr>
      <w:tblPr/>
      <w:tcPr>
        <w:shd w:val="clear" w:color="auto" w:fill="2F6B93" w:themeFill="accent2" w:themeFillShade="BF"/>
      </w:tcPr>
    </w:tblStylePr>
    <w:tblStylePr w:type="lastCol">
      <w:rPr>
        <w:color w:val="FFFFFF" w:themeColor="background1"/>
      </w:rPr>
      <w:tblPr/>
      <w:tcPr>
        <w:shd w:val="clear" w:color="auto" w:fill="2F6B93" w:themeFill="accent2" w:themeFillShade="BF"/>
      </w:tcPr>
    </w:tblStylePr>
    <w:tblStylePr w:type="band1Vert">
      <w:tblPr/>
      <w:tcPr>
        <w:shd w:val="clear" w:color="auto" w:fill="A0C7E0" w:themeFill="accent2" w:themeFillTint="7F"/>
      </w:tcPr>
    </w:tblStylePr>
    <w:tblStylePr w:type="band1Horz">
      <w:tblPr/>
      <w:tcPr>
        <w:shd w:val="clear" w:color="auto" w:fill="A0C7E0" w:themeFill="accent2" w:themeFillTint="7F"/>
      </w:tcPr>
    </w:tblStylePr>
  </w:style>
  <w:style w:type="table" w:styleId="ColorfulGrid-Accent3">
    <w:name w:val="Colorful Grid Accent 3"/>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7D7" w:themeFill="accent3" w:themeFillTint="33"/>
    </w:tcPr>
    <w:tblStylePr w:type="firstRow">
      <w:rPr>
        <w:b/>
        <w:bCs/>
      </w:rPr>
      <w:tblPr/>
      <w:tcPr>
        <w:shd w:val="clear" w:color="auto" w:fill="B1B0B0" w:themeFill="accent3" w:themeFillTint="66"/>
      </w:tcPr>
    </w:tblStylePr>
    <w:tblStylePr w:type="lastRow">
      <w:rPr>
        <w:b/>
        <w:bCs/>
        <w:color w:val="000000" w:themeColor="text1"/>
      </w:rPr>
      <w:tblPr/>
      <w:tcPr>
        <w:shd w:val="clear" w:color="auto" w:fill="B1B0B0" w:themeFill="accent3" w:themeFillTint="66"/>
      </w:tcPr>
    </w:tblStylePr>
    <w:tblStylePr w:type="firstCol">
      <w:rPr>
        <w:color w:val="FFFFFF" w:themeColor="background1"/>
      </w:rPr>
      <w:tblPr/>
      <w:tcPr>
        <w:shd w:val="clear" w:color="auto" w:fill="2D2C2C" w:themeFill="accent3" w:themeFillShade="BF"/>
      </w:tcPr>
    </w:tblStylePr>
    <w:tblStylePr w:type="lastCol">
      <w:rPr>
        <w:color w:val="FFFFFF" w:themeColor="background1"/>
      </w:rPr>
      <w:tblPr/>
      <w:tcPr>
        <w:shd w:val="clear" w:color="auto" w:fill="2D2C2C" w:themeFill="accent3" w:themeFillShade="BF"/>
      </w:tcPr>
    </w:tblStylePr>
    <w:tblStylePr w:type="band1Vert">
      <w:tblPr/>
      <w:tcPr>
        <w:shd w:val="clear" w:color="auto" w:fill="9E9D9D" w:themeFill="accent3" w:themeFillTint="7F"/>
      </w:tcPr>
    </w:tblStylePr>
    <w:tblStylePr w:type="band1Horz">
      <w:tblPr/>
      <w:tcPr>
        <w:shd w:val="clear" w:color="auto" w:fill="9E9D9D" w:themeFill="accent3" w:themeFillTint="7F"/>
      </w:tcPr>
    </w:tblStylePr>
  </w:style>
  <w:style w:type="table" w:styleId="ColorfulGrid-Accent4">
    <w:name w:val="Colorful Grid Accent 4"/>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6E6" w:themeFill="accent4" w:themeFillTint="33"/>
    </w:tcPr>
    <w:tblStylePr w:type="firstRow">
      <w:rPr>
        <w:b/>
        <w:bCs/>
      </w:rPr>
      <w:tblPr/>
      <w:tcPr>
        <w:shd w:val="clear" w:color="auto" w:fill="CECECE" w:themeFill="accent4" w:themeFillTint="66"/>
      </w:tcPr>
    </w:tblStylePr>
    <w:tblStylePr w:type="lastRow">
      <w:rPr>
        <w:b/>
        <w:bCs/>
        <w:color w:val="000000" w:themeColor="text1"/>
      </w:rPr>
      <w:tblPr/>
      <w:tcPr>
        <w:shd w:val="clear" w:color="auto" w:fill="CECECE" w:themeFill="accent4" w:themeFillTint="66"/>
      </w:tcPr>
    </w:tblStylePr>
    <w:tblStylePr w:type="firstCol">
      <w:rPr>
        <w:color w:val="FFFFFF" w:themeColor="background1"/>
      </w:rPr>
      <w:tblPr/>
      <w:tcPr>
        <w:shd w:val="clear" w:color="auto" w:fill="636363" w:themeFill="accent4" w:themeFillShade="BF"/>
      </w:tcPr>
    </w:tblStylePr>
    <w:tblStylePr w:type="lastCol">
      <w:rPr>
        <w:color w:val="FFFFFF" w:themeColor="background1"/>
      </w:rPr>
      <w:tblPr/>
      <w:tcPr>
        <w:shd w:val="clear" w:color="auto" w:fill="636363" w:themeFill="accent4" w:themeFillShade="BF"/>
      </w:tcPr>
    </w:tblStylePr>
    <w:tblStylePr w:type="band1Vert">
      <w:tblPr/>
      <w:tcPr>
        <w:shd w:val="clear" w:color="auto" w:fill="C2C2C2" w:themeFill="accent4" w:themeFillTint="7F"/>
      </w:tcPr>
    </w:tblStylePr>
    <w:tblStylePr w:type="band1Horz">
      <w:tblPr/>
      <w:tcPr>
        <w:shd w:val="clear" w:color="auto" w:fill="C2C2C2" w:themeFill="accent4" w:themeFillTint="7F"/>
      </w:tcPr>
    </w:tblStylePr>
  </w:style>
  <w:style w:type="table" w:styleId="ColorfulGrid-Accent5">
    <w:name w:val="Colorful Grid Accent 5"/>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9E9FF" w:themeFill="accent5" w:themeFillTint="33"/>
    </w:tcPr>
    <w:tblStylePr w:type="firstRow">
      <w:rPr>
        <w:b/>
        <w:bCs/>
      </w:rPr>
      <w:tblPr/>
      <w:tcPr>
        <w:shd w:val="clear" w:color="auto" w:fill="73D4FF" w:themeFill="accent5" w:themeFillTint="66"/>
      </w:tcPr>
    </w:tblStylePr>
    <w:tblStylePr w:type="lastRow">
      <w:rPr>
        <w:b/>
        <w:bCs/>
        <w:color w:val="000000" w:themeColor="text1"/>
      </w:rPr>
      <w:tblPr/>
      <w:tcPr>
        <w:shd w:val="clear" w:color="auto" w:fill="73D4FF" w:themeFill="accent5" w:themeFillTint="66"/>
      </w:tcPr>
    </w:tblStylePr>
    <w:tblStylePr w:type="firstCol">
      <w:rPr>
        <w:color w:val="FFFFFF" w:themeColor="background1"/>
      </w:rPr>
      <w:tblPr/>
      <w:tcPr>
        <w:shd w:val="clear" w:color="auto" w:fill="005378" w:themeFill="accent5" w:themeFillShade="BF"/>
      </w:tcPr>
    </w:tblStylePr>
    <w:tblStylePr w:type="lastCol">
      <w:rPr>
        <w:color w:val="FFFFFF" w:themeColor="background1"/>
      </w:rPr>
      <w:tblPr/>
      <w:tcPr>
        <w:shd w:val="clear" w:color="auto" w:fill="005378" w:themeFill="accent5" w:themeFillShade="BF"/>
      </w:tcPr>
    </w:tblStylePr>
    <w:tblStylePr w:type="band1Vert">
      <w:tblPr/>
      <w:tcPr>
        <w:shd w:val="clear" w:color="auto" w:fill="51CAFF" w:themeFill="accent5" w:themeFillTint="7F"/>
      </w:tcPr>
    </w:tblStylePr>
    <w:tblStylePr w:type="band1Horz">
      <w:tblPr/>
      <w:tcPr>
        <w:shd w:val="clear" w:color="auto" w:fill="51CAFF" w:themeFill="accent5" w:themeFillTint="7F"/>
      </w:tcPr>
    </w:tblStylePr>
  </w:style>
  <w:style w:type="table" w:styleId="ColorfulGrid-Accent6">
    <w:name w:val="Colorful Grid Accent 6"/>
    <w:basedOn w:val="TableNormal"/>
    <w:uiPriority w:val="73"/>
    <w:rsid w:val="00F7273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DDDF1" w:themeFill="accent6" w:themeFillTint="33"/>
    </w:tcPr>
    <w:tblStylePr w:type="firstRow">
      <w:rPr>
        <w:b/>
        <w:bCs/>
      </w:rPr>
      <w:tblPr/>
      <w:tcPr>
        <w:shd w:val="clear" w:color="auto" w:fill="7CBBE4" w:themeFill="accent6" w:themeFillTint="66"/>
      </w:tcPr>
    </w:tblStylePr>
    <w:tblStylePr w:type="lastRow">
      <w:rPr>
        <w:b/>
        <w:bCs/>
        <w:color w:val="000000" w:themeColor="text1"/>
      </w:rPr>
      <w:tblPr/>
      <w:tcPr>
        <w:shd w:val="clear" w:color="auto" w:fill="7CBBE4" w:themeFill="accent6" w:themeFillTint="66"/>
      </w:tcPr>
    </w:tblStylePr>
    <w:tblStylePr w:type="firstCol">
      <w:rPr>
        <w:color w:val="FFFFFF" w:themeColor="background1"/>
      </w:rPr>
      <w:tblPr/>
      <w:tcPr>
        <w:shd w:val="clear" w:color="auto" w:fill="0F3148" w:themeFill="accent6" w:themeFillShade="BF"/>
      </w:tcPr>
    </w:tblStylePr>
    <w:tblStylePr w:type="lastCol">
      <w:rPr>
        <w:color w:val="FFFFFF" w:themeColor="background1"/>
      </w:rPr>
      <w:tblPr/>
      <w:tcPr>
        <w:shd w:val="clear" w:color="auto" w:fill="0F3148" w:themeFill="accent6" w:themeFillShade="BF"/>
      </w:tcPr>
    </w:tblStylePr>
    <w:tblStylePr w:type="band1Vert">
      <w:tblPr/>
      <w:tcPr>
        <w:shd w:val="clear" w:color="auto" w:fill="5CAADD" w:themeFill="accent6" w:themeFillTint="7F"/>
      </w:tcPr>
    </w:tblStylePr>
    <w:tblStylePr w:type="band1Horz">
      <w:tblPr/>
      <w:tcPr>
        <w:shd w:val="clear" w:color="auto" w:fill="5CAADD" w:themeFill="accent6" w:themeFillTint="7F"/>
      </w:tcPr>
    </w:tblStylePr>
  </w:style>
  <w:style w:type="table" w:styleId="LightList">
    <w:name w:val="Light List"/>
    <w:basedOn w:val="TableNormal"/>
    <w:uiPriority w:val="61"/>
    <w:rsid w:val="00F727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72739"/>
    <w:pPr>
      <w:spacing w:after="0" w:line="240" w:lineRule="auto"/>
    </w:pPr>
    <w:tblPr>
      <w:tblStyleRowBandSize w:val="1"/>
      <w:tblStyleColBandSize w:val="1"/>
      <w:tblBorders>
        <w:top w:val="single" w:sz="8" w:space="0" w:color="144361" w:themeColor="accent1"/>
        <w:left w:val="single" w:sz="8" w:space="0" w:color="144361" w:themeColor="accent1"/>
        <w:bottom w:val="single" w:sz="8" w:space="0" w:color="144361" w:themeColor="accent1"/>
        <w:right w:val="single" w:sz="8" w:space="0" w:color="144361" w:themeColor="accent1"/>
      </w:tblBorders>
    </w:tblPr>
    <w:tblStylePr w:type="firstRow">
      <w:pPr>
        <w:spacing w:before="0" w:after="0" w:line="240" w:lineRule="auto"/>
      </w:pPr>
      <w:rPr>
        <w:b/>
        <w:bCs/>
        <w:color w:val="FFFFFF" w:themeColor="background1"/>
      </w:rPr>
      <w:tblPr/>
      <w:tcPr>
        <w:shd w:val="clear" w:color="auto" w:fill="144361" w:themeFill="accent1"/>
      </w:tcPr>
    </w:tblStylePr>
    <w:tblStylePr w:type="lastRow">
      <w:pPr>
        <w:spacing w:before="0" w:after="0" w:line="240" w:lineRule="auto"/>
      </w:pPr>
      <w:rPr>
        <w:b/>
        <w:bCs/>
      </w:rPr>
      <w:tblPr/>
      <w:tcPr>
        <w:tcBorders>
          <w:top w:val="double" w:sz="6" w:space="0" w:color="144361" w:themeColor="accent1"/>
          <w:left w:val="single" w:sz="8" w:space="0" w:color="144361" w:themeColor="accent1"/>
          <w:bottom w:val="single" w:sz="8" w:space="0" w:color="144361" w:themeColor="accent1"/>
          <w:right w:val="single" w:sz="8" w:space="0" w:color="144361" w:themeColor="accent1"/>
        </w:tcBorders>
      </w:tcPr>
    </w:tblStylePr>
    <w:tblStylePr w:type="firstCol">
      <w:rPr>
        <w:b/>
        <w:bCs/>
      </w:rPr>
    </w:tblStylePr>
    <w:tblStylePr w:type="lastCol">
      <w:rPr>
        <w:b/>
        <w:bCs/>
      </w:rPr>
    </w:tblStylePr>
    <w:tblStylePr w:type="band1Vert">
      <w:tblPr/>
      <w:tcPr>
        <w:tcBorders>
          <w:top w:val="single" w:sz="8" w:space="0" w:color="144361" w:themeColor="accent1"/>
          <w:left w:val="single" w:sz="8" w:space="0" w:color="144361" w:themeColor="accent1"/>
          <w:bottom w:val="single" w:sz="8" w:space="0" w:color="144361" w:themeColor="accent1"/>
          <w:right w:val="single" w:sz="8" w:space="0" w:color="144361" w:themeColor="accent1"/>
        </w:tcBorders>
      </w:tcPr>
    </w:tblStylePr>
    <w:tblStylePr w:type="band1Horz">
      <w:tblPr/>
      <w:tcPr>
        <w:tcBorders>
          <w:top w:val="single" w:sz="8" w:space="0" w:color="144361" w:themeColor="accent1"/>
          <w:left w:val="single" w:sz="8" w:space="0" w:color="144361" w:themeColor="accent1"/>
          <w:bottom w:val="single" w:sz="8" w:space="0" w:color="144361" w:themeColor="accent1"/>
          <w:right w:val="single" w:sz="8" w:space="0" w:color="144361" w:themeColor="accent1"/>
        </w:tcBorders>
      </w:tcPr>
    </w:tblStylePr>
  </w:style>
  <w:style w:type="table" w:styleId="LightList-Accent2">
    <w:name w:val="Light List Accent 2"/>
    <w:basedOn w:val="TableNormal"/>
    <w:uiPriority w:val="61"/>
    <w:rsid w:val="00F72739"/>
    <w:pPr>
      <w:spacing w:after="0" w:line="240" w:lineRule="auto"/>
    </w:pPr>
    <w:tblPr>
      <w:tblStyleRowBandSize w:val="1"/>
      <w:tblStyleColBandSize w:val="1"/>
      <w:tblBorders>
        <w:top w:val="single" w:sz="8" w:space="0" w:color="428FC2" w:themeColor="accent2"/>
        <w:left w:val="single" w:sz="8" w:space="0" w:color="428FC2" w:themeColor="accent2"/>
        <w:bottom w:val="single" w:sz="8" w:space="0" w:color="428FC2" w:themeColor="accent2"/>
        <w:right w:val="single" w:sz="8" w:space="0" w:color="428FC2" w:themeColor="accent2"/>
      </w:tblBorders>
    </w:tblPr>
    <w:tblStylePr w:type="firstRow">
      <w:pPr>
        <w:spacing w:before="0" w:after="0" w:line="240" w:lineRule="auto"/>
      </w:pPr>
      <w:rPr>
        <w:b/>
        <w:bCs/>
        <w:color w:val="FFFFFF" w:themeColor="background1"/>
      </w:rPr>
      <w:tblPr/>
      <w:tcPr>
        <w:shd w:val="clear" w:color="auto" w:fill="428FC2" w:themeFill="accent2"/>
      </w:tcPr>
    </w:tblStylePr>
    <w:tblStylePr w:type="lastRow">
      <w:pPr>
        <w:spacing w:before="0" w:after="0" w:line="240" w:lineRule="auto"/>
      </w:pPr>
      <w:rPr>
        <w:b/>
        <w:bCs/>
      </w:rPr>
      <w:tblPr/>
      <w:tcPr>
        <w:tcBorders>
          <w:top w:val="double" w:sz="6" w:space="0" w:color="428FC2" w:themeColor="accent2"/>
          <w:left w:val="single" w:sz="8" w:space="0" w:color="428FC2" w:themeColor="accent2"/>
          <w:bottom w:val="single" w:sz="8" w:space="0" w:color="428FC2" w:themeColor="accent2"/>
          <w:right w:val="single" w:sz="8" w:space="0" w:color="428FC2" w:themeColor="accent2"/>
        </w:tcBorders>
      </w:tcPr>
    </w:tblStylePr>
    <w:tblStylePr w:type="firstCol">
      <w:rPr>
        <w:b/>
        <w:bCs/>
      </w:rPr>
    </w:tblStylePr>
    <w:tblStylePr w:type="lastCol">
      <w:rPr>
        <w:b/>
        <w:bCs/>
      </w:rPr>
    </w:tblStylePr>
    <w:tblStylePr w:type="band1Vert">
      <w:tblPr/>
      <w:tcPr>
        <w:tcBorders>
          <w:top w:val="single" w:sz="8" w:space="0" w:color="428FC2" w:themeColor="accent2"/>
          <w:left w:val="single" w:sz="8" w:space="0" w:color="428FC2" w:themeColor="accent2"/>
          <w:bottom w:val="single" w:sz="8" w:space="0" w:color="428FC2" w:themeColor="accent2"/>
          <w:right w:val="single" w:sz="8" w:space="0" w:color="428FC2" w:themeColor="accent2"/>
        </w:tcBorders>
      </w:tcPr>
    </w:tblStylePr>
    <w:tblStylePr w:type="band1Horz">
      <w:tblPr/>
      <w:tcPr>
        <w:tcBorders>
          <w:top w:val="single" w:sz="8" w:space="0" w:color="428FC2" w:themeColor="accent2"/>
          <w:left w:val="single" w:sz="8" w:space="0" w:color="428FC2" w:themeColor="accent2"/>
          <w:bottom w:val="single" w:sz="8" w:space="0" w:color="428FC2" w:themeColor="accent2"/>
          <w:right w:val="single" w:sz="8" w:space="0" w:color="428FC2" w:themeColor="accent2"/>
        </w:tcBorders>
      </w:tcPr>
    </w:tblStylePr>
  </w:style>
  <w:style w:type="table" w:styleId="LightList-Accent3">
    <w:name w:val="Light List Accent 3"/>
    <w:basedOn w:val="TableNormal"/>
    <w:uiPriority w:val="61"/>
    <w:rsid w:val="00F72739"/>
    <w:pPr>
      <w:spacing w:after="0" w:line="240" w:lineRule="auto"/>
    </w:pPr>
    <w:tblPr>
      <w:tblStyleRowBandSize w:val="1"/>
      <w:tblStyleColBandSize w:val="1"/>
      <w:tblBorders>
        <w:top w:val="single" w:sz="8" w:space="0" w:color="3D3C3C" w:themeColor="accent3"/>
        <w:left w:val="single" w:sz="8" w:space="0" w:color="3D3C3C" w:themeColor="accent3"/>
        <w:bottom w:val="single" w:sz="8" w:space="0" w:color="3D3C3C" w:themeColor="accent3"/>
        <w:right w:val="single" w:sz="8" w:space="0" w:color="3D3C3C" w:themeColor="accent3"/>
      </w:tblBorders>
    </w:tblPr>
    <w:tblStylePr w:type="firstRow">
      <w:pPr>
        <w:spacing w:before="0" w:after="0" w:line="240" w:lineRule="auto"/>
      </w:pPr>
      <w:rPr>
        <w:b/>
        <w:bCs/>
        <w:color w:val="FFFFFF" w:themeColor="background1"/>
      </w:rPr>
      <w:tblPr/>
      <w:tcPr>
        <w:shd w:val="clear" w:color="auto" w:fill="3D3C3C" w:themeFill="accent3"/>
      </w:tcPr>
    </w:tblStylePr>
    <w:tblStylePr w:type="lastRow">
      <w:pPr>
        <w:spacing w:before="0" w:after="0" w:line="240" w:lineRule="auto"/>
      </w:pPr>
      <w:rPr>
        <w:b/>
        <w:bCs/>
      </w:rPr>
      <w:tblPr/>
      <w:tcPr>
        <w:tcBorders>
          <w:top w:val="double" w:sz="6" w:space="0" w:color="3D3C3C" w:themeColor="accent3"/>
          <w:left w:val="single" w:sz="8" w:space="0" w:color="3D3C3C" w:themeColor="accent3"/>
          <w:bottom w:val="single" w:sz="8" w:space="0" w:color="3D3C3C" w:themeColor="accent3"/>
          <w:right w:val="single" w:sz="8" w:space="0" w:color="3D3C3C" w:themeColor="accent3"/>
        </w:tcBorders>
      </w:tcPr>
    </w:tblStylePr>
    <w:tblStylePr w:type="firstCol">
      <w:rPr>
        <w:b/>
        <w:bCs/>
      </w:rPr>
    </w:tblStylePr>
    <w:tblStylePr w:type="lastCol">
      <w:rPr>
        <w:b/>
        <w:bCs/>
      </w:rPr>
    </w:tblStylePr>
    <w:tblStylePr w:type="band1Vert">
      <w:tblPr/>
      <w:tcPr>
        <w:tcBorders>
          <w:top w:val="single" w:sz="8" w:space="0" w:color="3D3C3C" w:themeColor="accent3"/>
          <w:left w:val="single" w:sz="8" w:space="0" w:color="3D3C3C" w:themeColor="accent3"/>
          <w:bottom w:val="single" w:sz="8" w:space="0" w:color="3D3C3C" w:themeColor="accent3"/>
          <w:right w:val="single" w:sz="8" w:space="0" w:color="3D3C3C" w:themeColor="accent3"/>
        </w:tcBorders>
      </w:tcPr>
    </w:tblStylePr>
    <w:tblStylePr w:type="band1Horz">
      <w:tblPr/>
      <w:tcPr>
        <w:tcBorders>
          <w:top w:val="single" w:sz="8" w:space="0" w:color="3D3C3C" w:themeColor="accent3"/>
          <w:left w:val="single" w:sz="8" w:space="0" w:color="3D3C3C" w:themeColor="accent3"/>
          <w:bottom w:val="single" w:sz="8" w:space="0" w:color="3D3C3C" w:themeColor="accent3"/>
          <w:right w:val="single" w:sz="8" w:space="0" w:color="3D3C3C" w:themeColor="accent3"/>
        </w:tcBorders>
      </w:tcPr>
    </w:tblStylePr>
  </w:style>
  <w:style w:type="table" w:styleId="LightList-Accent4">
    <w:name w:val="Light List Accent 4"/>
    <w:basedOn w:val="TableNormal"/>
    <w:uiPriority w:val="61"/>
    <w:rsid w:val="00F72739"/>
    <w:pPr>
      <w:spacing w:after="0" w:line="240" w:lineRule="auto"/>
    </w:pPr>
    <w:tblPr>
      <w:tblStyleRowBandSize w:val="1"/>
      <w:tblStyleColBandSize w:val="1"/>
      <w:tblBorders>
        <w:top w:val="single" w:sz="8" w:space="0" w:color="858585" w:themeColor="accent4"/>
        <w:left w:val="single" w:sz="8" w:space="0" w:color="858585" w:themeColor="accent4"/>
        <w:bottom w:val="single" w:sz="8" w:space="0" w:color="858585" w:themeColor="accent4"/>
        <w:right w:val="single" w:sz="8" w:space="0" w:color="858585" w:themeColor="accent4"/>
      </w:tblBorders>
    </w:tblPr>
    <w:tblStylePr w:type="firstRow">
      <w:pPr>
        <w:spacing w:before="0" w:after="0" w:line="240" w:lineRule="auto"/>
      </w:pPr>
      <w:rPr>
        <w:b/>
        <w:bCs/>
        <w:color w:val="FFFFFF" w:themeColor="background1"/>
      </w:rPr>
      <w:tblPr/>
      <w:tcPr>
        <w:shd w:val="clear" w:color="auto" w:fill="858585" w:themeFill="accent4"/>
      </w:tcPr>
    </w:tblStylePr>
    <w:tblStylePr w:type="lastRow">
      <w:pPr>
        <w:spacing w:before="0" w:after="0" w:line="240" w:lineRule="auto"/>
      </w:pPr>
      <w:rPr>
        <w:b/>
        <w:bCs/>
      </w:rPr>
      <w:tblPr/>
      <w:tcPr>
        <w:tcBorders>
          <w:top w:val="double" w:sz="6" w:space="0" w:color="858585" w:themeColor="accent4"/>
          <w:left w:val="single" w:sz="8" w:space="0" w:color="858585" w:themeColor="accent4"/>
          <w:bottom w:val="single" w:sz="8" w:space="0" w:color="858585" w:themeColor="accent4"/>
          <w:right w:val="single" w:sz="8" w:space="0" w:color="858585" w:themeColor="accent4"/>
        </w:tcBorders>
      </w:tcPr>
    </w:tblStylePr>
    <w:tblStylePr w:type="firstCol">
      <w:rPr>
        <w:b/>
        <w:bCs/>
      </w:rPr>
    </w:tblStylePr>
    <w:tblStylePr w:type="lastCol">
      <w:rPr>
        <w:b/>
        <w:bCs/>
      </w:rPr>
    </w:tblStylePr>
    <w:tblStylePr w:type="band1Vert">
      <w:tblPr/>
      <w:tcPr>
        <w:tcBorders>
          <w:top w:val="single" w:sz="8" w:space="0" w:color="858585" w:themeColor="accent4"/>
          <w:left w:val="single" w:sz="8" w:space="0" w:color="858585" w:themeColor="accent4"/>
          <w:bottom w:val="single" w:sz="8" w:space="0" w:color="858585" w:themeColor="accent4"/>
          <w:right w:val="single" w:sz="8" w:space="0" w:color="858585" w:themeColor="accent4"/>
        </w:tcBorders>
      </w:tcPr>
    </w:tblStylePr>
    <w:tblStylePr w:type="band1Horz">
      <w:tblPr/>
      <w:tcPr>
        <w:tcBorders>
          <w:top w:val="single" w:sz="8" w:space="0" w:color="858585" w:themeColor="accent4"/>
          <w:left w:val="single" w:sz="8" w:space="0" w:color="858585" w:themeColor="accent4"/>
          <w:bottom w:val="single" w:sz="8" w:space="0" w:color="858585" w:themeColor="accent4"/>
          <w:right w:val="single" w:sz="8" w:space="0" w:color="858585" w:themeColor="accent4"/>
        </w:tcBorders>
      </w:tcPr>
    </w:tblStylePr>
  </w:style>
  <w:style w:type="table" w:styleId="LightList-Accent5">
    <w:name w:val="Light List Accent 5"/>
    <w:basedOn w:val="TableNormal"/>
    <w:uiPriority w:val="61"/>
    <w:rsid w:val="00F72739"/>
    <w:pPr>
      <w:spacing w:after="0" w:line="240" w:lineRule="auto"/>
    </w:pPr>
    <w:tblPr>
      <w:tblStyleRowBandSize w:val="1"/>
      <w:tblStyleColBandSize w:val="1"/>
      <w:tblBorders>
        <w:top w:val="single" w:sz="8" w:space="0" w:color="0071A1" w:themeColor="accent5"/>
        <w:left w:val="single" w:sz="8" w:space="0" w:color="0071A1" w:themeColor="accent5"/>
        <w:bottom w:val="single" w:sz="8" w:space="0" w:color="0071A1" w:themeColor="accent5"/>
        <w:right w:val="single" w:sz="8" w:space="0" w:color="0071A1" w:themeColor="accent5"/>
      </w:tblBorders>
    </w:tblPr>
    <w:tblStylePr w:type="firstRow">
      <w:pPr>
        <w:spacing w:before="0" w:after="0" w:line="240" w:lineRule="auto"/>
      </w:pPr>
      <w:rPr>
        <w:b/>
        <w:bCs/>
        <w:color w:val="FFFFFF" w:themeColor="background1"/>
      </w:rPr>
      <w:tblPr/>
      <w:tcPr>
        <w:shd w:val="clear" w:color="auto" w:fill="0071A1" w:themeFill="accent5"/>
      </w:tcPr>
    </w:tblStylePr>
    <w:tblStylePr w:type="lastRow">
      <w:pPr>
        <w:spacing w:before="0" w:after="0" w:line="240" w:lineRule="auto"/>
      </w:pPr>
      <w:rPr>
        <w:b/>
        <w:bCs/>
      </w:rPr>
      <w:tblPr/>
      <w:tcPr>
        <w:tcBorders>
          <w:top w:val="double" w:sz="6" w:space="0" w:color="0071A1" w:themeColor="accent5"/>
          <w:left w:val="single" w:sz="8" w:space="0" w:color="0071A1" w:themeColor="accent5"/>
          <w:bottom w:val="single" w:sz="8" w:space="0" w:color="0071A1" w:themeColor="accent5"/>
          <w:right w:val="single" w:sz="8" w:space="0" w:color="0071A1" w:themeColor="accent5"/>
        </w:tcBorders>
      </w:tcPr>
    </w:tblStylePr>
    <w:tblStylePr w:type="firstCol">
      <w:rPr>
        <w:b/>
        <w:bCs/>
      </w:rPr>
    </w:tblStylePr>
    <w:tblStylePr w:type="lastCol">
      <w:rPr>
        <w:b/>
        <w:bCs/>
      </w:rPr>
    </w:tblStylePr>
    <w:tblStylePr w:type="band1Vert">
      <w:tblPr/>
      <w:tcPr>
        <w:tcBorders>
          <w:top w:val="single" w:sz="8" w:space="0" w:color="0071A1" w:themeColor="accent5"/>
          <w:left w:val="single" w:sz="8" w:space="0" w:color="0071A1" w:themeColor="accent5"/>
          <w:bottom w:val="single" w:sz="8" w:space="0" w:color="0071A1" w:themeColor="accent5"/>
          <w:right w:val="single" w:sz="8" w:space="0" w:color="0071A1" w:themeColor="accent5"/>
        </w:tcBorders>
      </w:tcPr>
    </w:tblStylePr>
    <w:tblStylePr w:type="band1Horz">
      <w:tblPr/>
      <w:tcPr>
        <w:tcBorders>
          <w:top w:val="single" w:sz="8" w:space="0" w:color="0071A1" w:themeColor="accent5"/>
          <w:left w:val="single" w:sz="8" w:space="0" w:color="0071A1" w:themeColor="accent5"/>
          <w:bottom w:val="single" w:sz="8" w:space="0" w:color="0071A1" w:themeColor="accent5"/>
          <w:right w:val="single" w:sz="8" w:space="0" w:color="0071A1" w:themeColor="accent5"/>
        </w:tcBorders>
      </w:tcPr>
    </w:tblStylePr>
  </w:style>
  <w:style w:type="table" w:styleId="LightList-Accent6">
    <w:name w:val="Light List Accent 6"/>
    <w:basedOn w:val="TableNormal"/>
    <w:uiPriority w:val="61"/>
    <w:rsid w:val="00F72739"/>
    <w:pPr>
      <w:spacing w:after="0" w:line="240" w:lineRule="auto"/>
    </w:pPr>
    <w:tblPr>
      <w:tblStyleRowBandSize w:val="1"/>
      <w:tblStyleColBandSize w:val="1"/>
      <w:tblBorders>
        <w:top w:val="single" w:sz="8" w:space="0" w:color="144361" w:themeColor="accent6"/>
        <w:left w:val="single" w:sz="8" w:space="0" w:color="144361" w:themeColor="accent6"/>
        <w:bottom w:val="single" w:sz="8" w:space="0" w:color="144361" w:themeColor="accent6"/>
        <w:right w:val="single" w:sz="8" w:space="0" w:color="144361" w:themeColor="accent6"/>
      </w:tblBorders>
    </w:tblPr>
    <w:tblStylePr w:type="firstRow">
      <w:pPr>
        <w:spacing w:before="0" w:after="0" w:line="240" w:lineRule="auto"/>
      </w:pPr>
      <w:rPr>
        <w:b/>
        <w:bCs/>
        <w:color w:val="FFFFFF" w:themeColor="background1"/>
      </w:rPr>
      <w:tblPr/>
      <w:tcPr>
        <w:shd w:val="clear" w:color="auto" w:fill="144361" w:themeFill="accent6"/>
      </w:tcPr>
    </w:tblStylePr>
    <w:tblStylePr w:type="lastRow">
      <w:pPr>
        <w:spacing w:before="0" w:after="0" w:line="240" w:lineRule="auto"/>
      </w:pPr>
      <w:rPr>
        <w:b/>
        <w:bCs/>
      </w:rPr>
      <w:tblPr/>
      <w:tcPr>
        <w:tcBorders>
          <w:top w:val="double" w:sz="6" w:space="0" w:color="144361" w:themeColor="accent6"/>
          <w:left w:val="single" w:sz="8" w:space="0" w:color="144361" w:themeColor="accent6"/>
          <w:bottom w:val="single" w:sz="8" w:space="0" w:color="144361" w:themeColor="accent6"/>
          <w:right w:val="single" w:sz="8" w:space="0" w:color="144361" w:themeColor="accent6"/>
        </w:tcBorders>
      </w:tcPr>
    </w:tblStylePr>
    <w:tblStylePr w:type="firstCol">
      <w:rPr>
        <w:b/>
        <w:bCs/>
      </w:rPr>
    </w:tblStylePr>
    <w:tblStylePr w:type="lastCol">
      <w:rPr>
        <w:b/>
        <w:bCs/>
      </w:rPr>
    </w:tblStylePr>
    <w:tblStylePr w:type="band1Vert">
      <w:tblPr/>
      <w:tcPr>
        <w:tcBorders>
          <w:top w:val="single" w:sz="8" w:space="0" w:color="144361" w:themeColor="accent6"/>
          <w:left w:val="single" w:sz="8" w:space="0" w:color="144361" w:themeColor="accent6"/>
          <w:bottom w:val="single" w:sz="8" w:space="0" w:color="144361" w:themeColor="accent6"/>
          <w:right w:val="single" w:sz="8" w:space="0" w:color="144361" w:themeColor="accent6"/>
        </w:tcBorders>
      </w:tcPr>
    </w:tblStylePr>
    <w:tblStylePr w:type="band1Horz">
      <w:tblPr/>
      <w:tcPr>
        <w:tcBorders>
          <w:top w:val="single" w:sz="8" w:space="0" w:color="144361" w:themeColor="accent6"/>
          <w:left w:val="single" w:sz="8" w:space="0" w:color="144361" w:themeColor="accent6"/>
          <w:bottom w:val="single" w:sz="8" w:space="0" w:color="144361" w:themeColor="accent6"/>
          <w:right w:val="single" w:sz="8" w:space="0" w:color="144361" w:themeColor="accent6"/>
        </w:tcBorders>
      </w:tcPr>
    </w:tblStylePr>
  </w:style>
  <w:style w:type="table" w:styleId="LightShading">
    <w:name w:val="Light Shading"/>
    <w:basedOn w:val="TableNormal"/>
    <w:uiPriority w:val="60"/>
    <w:rsid w:val="00F7273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72739"/>
    <w:pPr>
      <w:spacing w:after="0" w:line="240" w:lineRule="auto"/>
    </w:pPr>
    <w:rPr>
      <w:color w:val="0F3148" w:themeColor="accent1" w:themeShade="BF"/>
    </w:rPr>
    <w:tblPr>
      <w:tblStyleRowBandSize w:val="1"/>
      <w:tblStyleColBandSize w:val="1"/>
      <w:tblBorders>
        <w:top w:val="single" w:sz="8" w:space="0" w:color="144361" w:themeColor="accent1"/>
        <w:bottom w:val="single" w:sz="8" w:space="0" w:color="144361" w:themeColor="accent1"/>
      </w:tblBorders>
    </w:tblPr>
    <w:tblStylePr w:type="firstRow">
      <w:pPr>
        <w:spacing w:before="0" w:after="0" w:line="240" w:lineRule="auto"/>
      </w:pPr>
      <w:rPr>
        <w:b/>
        <w:bCs/>
      </w:rPr>
      <w:tblPr/>
      <w:tcPr>
        <w:tcBorders>
          <w:top w:val="single" w:sz="8" w:space="0" w:color="144361" w:themeColor="accent1"/>
          <w:left w:val="nil"/>
          <w:bottom w:val="single" w:sz="8" w:space="0" w:color="144361" w:themeColor="accent1"/>
          <w:right w:val="nil"/>
          <w:insideH w:val="nil"/>
          <w:insideV w:val="nil"/>
        </w:tcBorders>
      </w:tcPr>
    </w:tblStylePr>
    <w:tblStylePr w:type="lastRow">
      <w:pPr>
        <w:spacing w:before="0" w:after="0" w:line="240" w:lineRule="auto"/>
      </w:pPr>
      <w:rPr>
        <w:b/>
        <w:bCs/>
      </w:rPr>
      <w:tblPr/>
      <w:tcPr>
        <w:tcBorders>
          <w:top w:val="single" w:sz="8" w:space="0" w:color="144361" w:themeColor="accent1"/>
          <w:left w:val="nil"/>
          <w:bottom w:val="single" w:sz="8" w:space="0" w:color="14436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5EE" w:themeFill="accent1" w:themeFillTint="3F"/>
      </w:tcPr>
    </w:tblStylePr>
    <w:tblStylePr w:type="band1Horz">
      <w:tblPr/>
      <w:tcPr>
        <w:tcBorders>
          <w:left w:val="nil"/>
          <w:right w:val="nil"/>
          <w:insideH w:val="nil"/>
          <w:insideV w:val="nil"/>
        </w:tcBorders>
        <w:shd w:val="clear" w:color="auto" w:fill="AED5EE" w:themeFill="accent1" w:themeFillTint="3F"/>
      </w:tcPr>
    </w:tblStylePr>
  </w:style>
  <w:style w:type="table" w:styleId="LightShading-Accent2">
    <w:name w:val="Light Shading Accent 2"/>
    <w:basedOn w:val="TableNormal"/>
    <w:uiPriority w:val="60"/>
    <w:rsid w:val="00F72739"/>
    <w:pPr>
      <w:spacing w:after="0" w:line="240" w:lineRule="auto"/>
    </w:pPr>
    <w:rPr>
      <w:color w:val="2F6B93" w:themeColor="accent2" w:themeShade="BF"/>
    </w:rPr>
    <w:tblPr>
      <w:tblStyleRowBandSize w:val="1"/>
      <w:tblStyleColBandSize w:val="1"/>
      <w:tblBorders>
        <w:top w:val="single" w:sz="8" w:space="0" w:color="428FC2" w:themeColor="accent2"/>
        <w:bottom w:val="single" w:sz="8" w:space="0" w:color="428FC2" w:themeColor="accent2"/>
      </w:tblBorders>
    </w:tblPr>
    <w:tblStylePr w:type="firstRow">
      <w:pPr>
        <w:spacing w:before="0" w:after="0" w:line="240" w:lineRule="auto"/>
      </w:pPr>
      <w:rPr>
        <w:b/>
        <w:bCs/>
      </w:rPr>
      <w:tblPr/>
      <w:tcPr>
        <w:tcBorders>
          <w:top w:val="single" w:sz="8" w:space="0" w:color="428FC2" w:themeColor="accent2"/>
          <w:left w:val="nil"/>
          <w:bottom w:val="single" w:sz="8" w:space="0" w:color="428FC2" w:themeColor="accent2"/>
          <w:right w:val="nil"/>
          <w:insideH w:val="nil"/>
          <w:insideV w:val="nil"/>
        </w:tcBorders>
      </w:tcPr>
    </w:tblStylePr>
    <w:tblStylePr w:type="lastRow">
      <w:pPr>
        <w:spacing w:before="0" w:after="0" w:line="240" w:lineRule="auto"/>
      </w:pPr>
      <w:rPr>
        <w:b/>
        <w:bCs/>
      </w:rPr>
      <w:tblPr/>
      <w:tcPr>
        <w:tcBorders>
          <w:top w:val="single" w:sz="8" w:space="0" w:color="428FC2" w:themeColor="accent2"/>
          <w:left w:val="nil"/>
          <w:bottom w:val="single" w:sz="8" w:space="0" w:color="428FC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3F0" w:themeFill="accent2" w:themeFillTint="3F"/>
      </w:tcPr>
    </w:tblStylePr>
    <w:tblStylePr w:type="band1Horz">
      <w:tblPr/>
      <w:tcPr>
        <w:tcBorders>
          <w:left w:val="nil"/>
          <w:right w:val="nil"/>
          <w:insideH w:val="nil"/>
          <w:insideV w:val="nil"/>
        </w:tcBorders>
        <w:shd w:val="clear" w:color="auto" w:fill="D0E3F0" w:themeFill="accent2" w:themeFillTint="3F"/>
      </w:tcPr>
    </w:tblStylePr>
  </w:style>
  <w:style w:type="table" w:styleId="LightShading-Accent3">
    <w:name w:val="Light Shading Accent 3"/>
    <w:basedOn w:val="TableNormal"/>
    <w:uiPriority w:val="60"/>
    <w:rsid w:val="00F72739"/>
    <w:pPr>
      <w:spacing w:after="0" w:line="240" w:lineRule="auto"/>
    </w:pPr>
    <w:rPr>
      <w:color w:val="2D2C2C" w:themeColor="accent3" w:themeShade="BF"/>
    </w:rPr>
    <w:tblPr>
      <w:tblStyleRowBandSize w:val="1"/>
      <w:tblStyleColBandSize w:val="1"/>
      <w:tblBorders>
        <w:top w:val="single" w:sz="8" w:space="0" w:color="3D3C3C" w:themeColor="accent3"/>
        <w:bottom w:val="single" w:sz="8" w:space="0" w:color="3D3C3C" w:themeColor="accent3"/>
      </w:tblBorders>
    </w:tblPr>
    <w:tblStylePr w:type="firstRow">
      <w:pPr>
        <w:spacing w:before="0" w:after="0" w:line="240" w:lineRule="auto"/>
      </w:pPr>
      <w:rPr>
        <w:b/>
        <w:bCs/>
      </w:rPr>
      <w:tblPr/>
      <w:tcPr>
        <w:tcBorders>
          <w:top w:val="single" w:sz="8" w:space="0" w:color="3D3C3C" w:themeColor="accent3"/>
          <w:left w:val="nil"/>
          <w:bottom w:val="single" w:sz="8" w:space="0" w:color="3D3C3C" w:themeColor="accent3"/>
          <w:right w:val="nil"/>
          <w:insideH w:val="nil"/>
          <w:insideV w:val="nil"/>
        </w:tcBorders>
      </w:tcPr>
    </w:tblStylePr>
    <w:tblStylePr w:type="lastRow">
      <w:pPr>
        <w:spacing w:before="0" w:after="0" w:line="240" w:lineRule="auto"/>
      </w:pPr>
      <w:rPr>
        <w:b/>
        <w:bCs/>
      </w:rPr>
      <w:tblPr/>
      <w:tcPr>
        <w:tcBorders>
          <w:top w:val="single" w:sz="8" w:space="0" w:color="3D3C3C" w:themeColor="accent3"/>
          <w:left w:val="nil"/>
          <w:bottom w:val="single" w:sz="8" w:space="0" w:color="3D3C3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ECE" w:themeFill="accent3" w:themeFillTint="3F"/>
      </w:tcPr>
    </w:tblStylePr>
    <w:tblStylePr w:type="band1Horz">
      <w:tblPr/>
      <w:tcPr>
        <w:tcBorders>
          <w:left w:val="nil"/>
          <w:right w:val="nil"/>
          <w:insideH w:val="nil"/>
          <w:insideV w:val="nil"/>
        </w:tcBorders>
        <w:shd w:val="clear" w:color="auto" w:fill="CFCECE" w:themeFill="accent3" w:themeFillTint="3F"/>
      </w:tcPr>
    </w:tblStylePr>
  </w:style>
  <w:style w:type="table" w:styleId="LightShading-Accent4">
    <w:name w:val="Light Shading Accent 4"/>
    <w:basedOn w:val="TableNormal"/>
    <w:uiPriority w:val="60"/>
    <w:rsid w:val="00F72739"/>
    <w:pPr>
      <w:spacing w:after="0" w:line="240" w:lineRule="auto"/>
    </w:pPr>
    <w:rPr>
      <w:color w:val="636363" w:themeColor="accent4" w:themeShade="BF"/>
    </w:rPr>
    <w:tblPr>
      <w:tblStyleRowBandSize w:val="1"/>
      <w:tblStyleColBandSize w:val="1"/>
      <w:tblBorders>
        <w:top w:val="single" w:sz="8" w:space="0" w:color="858585" w:themeColor="accent4"/>
        <w:bottom w:val="single" w:sz="8" w:space="0" w:color="858585" w:themeColor="accent4"/>
      </w:tblBorders>
    </w:tblPr>
    <w:tblStylePr w:type="firstRow">
      <w:pPr>
        <w:spacing w:before="0" w:after="0" w:line="240" w:lineRule="auto"/>
      </w:pPr>
      <w:rPr>
        <w:b/>
        <w:bCs/>
      </w:rPr>
      <w:tblPr/>
      <w:tcPr>
        <w:tcBorders>
          <w:top w:val="single" w:sz="8" w:space="0" w:color="858585" w:themeColor="accent4"/>
          <w:left w:val="nil"/>
          <w:bottom w:val="single" w:sz="8" w:space="0" w:color="858585" w:themeColor="accent4"/>
          <w:right w:val="nil"/>
          <w:insideH w:val="nil"/>
          <w:insideV w:val="nil"/>
        </w:tcBorders>
      </w:tcPr>
    </w:tblStylePr>
    <w:tblStylePr w:type="lastRow">
      <w:pPr>
        <w:spacing w:before="0" w:after="0" w:line="240" w:lineRule="auto"/>
      </w:pPr>
      <w:rPr>
        <w:b/>
        <w:bCs/>
      </w:rPr>
      <w:tblPr/>
      <w:tcPr>
        <w:tcBorders>
          <w:top w:val="single" w:sz="8" w:space="0" w:color="858585" w:themeColor="accent4"/>
          <w:left w:val="nil"/>
          <w:bottom w:val="single" w:sz="8" w:space="0" w:color="85858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left w:val="nil"/>
          <w:right w:val="nil"/>
          <w:insideH w:val="nil"/>
          <w:insideV w:val="nil"/>
        </w:tcBorders>
        <w:shd w:val="clear" w:color="auto" w:fill="E0E0E0" w:themeFill="accent4" w:themeFillTint="3F"/>
      </w:tcPr>
    </w:tblStylePr>
  </w:style>
  <w:style w:type="table" w:styleId="LightShading-Accent5">
    <w:name w:val="Light Shading Accent 5"/>
    <w:basedOn w:val="TableNormal"/>
    <w:uiPriority w:val="60"/>
    <w:rsid w:val="00F72739"/>
    <w:pPr>
      <w:spacing w:after="0" w:line="240" w:lineRule="auto"/>
    </w:pPr>
    <w:rPr>
      <w:color w:val="005378" w:themeColor="accent5" w:themeShade="BF"/>
    </w:rPr>
    <w:tblPr>
      <w:tblStyleRowBandSize w:val="1"/>
      <w:tblStyleColBandSize w:val="1"/>
      <w:tblBorders>
        <w:top w:val="single" w:sz="8" w:space="0" w:color="0071A1" w:themeColor="accent5"/>
        <w:bottom w:val="single" w:sz="8" w:space="0" w:color="0071A1" w:themeColor="accent5"/>
      </w:tblBorders>
    </w:tblPr>
    <w:tblStylePr w:type="firstRow">
      <w:pPr>
        <w:spacing w:before="0" w:after="0" w:line="240" w:lineRule="auto"/>
      </w:pPr>
      <w:rPr>
        <w:b/>
        <w:bCs/>
      </w:rPr>
      <w:tblPr/>
      <w:tcPr>
        <w:tcBorders>
          <w:top w:val="single" w:sz="8" w:space="0" w:color="0071A1" w:themeColor="accent5"/>
          <w:left w:val="nil"/>
          <w:bottom w:val="single" w:sz="8" w:space="0" w:color="0071A1" w:themeColor="accent5"/>
          <w:right w:val="nil"/>
          <w:insideH w:val="nil"/>
          <w:insideV w:val="nil"/>
        </w:tcBorders>
      </w:tcPr>
    </w:tblStylePr>
    <w:tblStylePr w:type="lastRow">
      <w:pPr>
        <w:spacing w:before="0" w:after="0" w:line="240" w:lineRule="auto"/>
      </w:pPr>
      <w:rPr>
        <w:b/>
        <w:bCs/>
      </w:rPr>
      <w:tblPr/>
      <w:tcPr>
        <w:tcBorders>
          <w:top w:val="single" w:sz="8" w:space="0" w:color="0071A1" w:themeColor="accent5"/>
          <w:left w:val="nil"/>
          <w:bottom w:val="single" w:sz="8" w:space="0" w:color="0071A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E4FF" w:themeFill="accent5" w:themeFillTint="3F"/>
      </w:tcPr>
    </w:tblStylePr>
    <w:tblStylePr w:type="band1Horz">
      <w:tblPr/>
      <w:tcPr>
        <w:tcBorders>
          <w:left w:val="nil"/>
          <w:right w:val="nil"/>
          <w:insideH w:val="nil"/>
          <w:insideV w:val="nil"/>
        </w:tcBorders>
        <w:shd w:val="clear" w:color="auto" w:fill="A8E4FF" w:themeFill="accent5" w:themeFillTint="3F"/>
      </w:tcPr>
    </w:tblStylePr>
  </w:style>
  <w:style w:type="table" w:styleId="LightShading-Accent6">
    <w:name w:val="Light Shading Accent 6"/>
    <w:basedOn w:val="TableNormal"/>
    <w:uiPriority w:val="60"/>
    <w:rsid w:val="00F72739"/>
    <w:pPr>
      <w:spacing w:after="0" w:line="240" w:lineRule="auto"/>
    </w:pPr>
    <w:rPr>
      <w:color w:val="0F3148" w:themeColor="accent6" w:themeShade="BF"/>
    </w:rPr>
    <w:tblPr>
      <w:tblStyleRowBandSize w:val="1"/>
      <w:tblStyleColBandSize w:val="1"/>
      <w:tblBorders>
        <w:top w:val="single" w:sz="8" w:space="0" w:color="144361" w:themeColor="accent6"/>
        <w:bottom w:val="single" w:sz="8" w:space="0" w:color="144361" w:themeColor="accent6"/>
      </w:tblBorders>
    </w:tblPr>
    <w:tblStylePr w:type="firstRow">
      <w:pPr>
        <w:spacing w:before="0" w:after="0" w:line="240" w:lineRule="auto"/>
      </w:pPr>
      <w:rPr>
        <w:b/>
        <w:bCs/>
      </w:rPr>
      <w:tblPr/>
      <w:tcPr>
        <w:tcBorders>
          <w:top w:val="single" w:sz="8" w:space="0" w:color="144361" w:themeColor="accent6"/>
          <w:left w:val="nil"/>
          <w:bottom w:val="single" w:sz="8" w:space="0" w:color="144361" w:themeColor="accent6"/>
          <w:right w:val="nil"/>
          <w:insideH w:val="nil"/>
          <w:insideV w:val="nil"/>
        </w:tcBorders>
      </w:tcPr>
    </w:tblStylePr>
    <w:tblStylePr w:type="lastRow">
      <w:pPr>
        <w:spacing w:before="0" w:after="0" w:line="240" w:lineRule="auto"/>
      </w:pPr>
      <w:rPr>
        <w:b/>
        <w:bCs/>
      </w:rPr>
      <w:tblPr/>
      <w:tcPr>
        <w:tcBorders>
          <w:top w:val="single" w:sz="8" w:space="0" w:color="144361" w:themeColor="accent6"/>
          <w:left w:val="nil"/>
          <w:bottom w:val="single" w:sz="8" w:space="0" w:color="14436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5EE" w:themeFill="accent6" w:themeFillTint="3F"/>
      </w:tcPr>
    </w:tblStylePr>
    <w:tblStylePr w:type="band1Horz">
      <w:tblPr/>
      <w:tcPr>
        <w:tcBorders>
          <w:left w:val="nil"/>
          <w:right w:val="nil"/>
          <w:insideH w:val="nil"/>
          <w:insideV w:val="nil"/>
        </w:tcBorders>
        <w:shd w:val="clear" w:color="auto" w:fill="AED5EE" w:themeFill="accent6" w:themeFillTint="3F"/>
      </w:tcPr>
    </w:tblStylePr>
  </w:style>
  <w:style w:type="table" w:styleId="LightGrid">
    <w:name w:val="Light Grid"/>
    <w:basedOn w:val="TableNormal"/>
    <w:uiPriority w:val="62"/>
    <w:rsid w:val="00F7273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72739"/>
    <w:pPr>
      <w:spacing w:after="0" w:line="240" w:lineRule="auto"/>
    </w:pPr>
    <w:tblPr>
      <w:tblStyleRowBandSize w:val="1"/>
      <w:tblStyleColBandSize w:val="1"/>
      <w:tblBorders>
        <w:top w:val="single" w:sz="8" w:space="0" w:color="144361" w:themeColor="accent1"/>
        <w:left w:val="single" w:sz="8" w:space="0" w:color="144361" w:themeColor="accent1"/>
        <w:bottom w:val="single" w:sz="8" w:space="0" w:color="144361" w:themeColor="accent1"/>
        <w:right w:val="single" w:sz="8" w:space="0" w:color="144361" w:themeColor="accent1"/>
        <w:insideH w:val="single" w:sz="8" w:space="0" w:color="144361" w:themeColor="accent1"/>
        <w:insideV w:val="single" w:sz="8" w:space="0" w:color="14436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4361" w:themeColor="accent1"/>
          <w:left w:val="single" w:sz="8" w:space="0" w:color="144361" w:themeColor="accent1"/>
          <w:bottom w:val="single" w:sz="18" w:space="0" w:color="144361" w:themeColor="accent1"/>
          <w:right w:val="single" w:sz="8" w:space="0" w:color="144361" w:themeColor="accent1"/>
          <w:insideH w:val="nil"/>
          <w:insideV w:val="single" w:sz="8" w:space="0" w:color="14436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4361" w:themeColor="accent1"/>
          <w:left w:val="single" w:sz="8" w:space="0" w:color="144361" w:themeColor="accent1"/>
          <w:bottom w:val="single" w:sz="8" w:space="0" w:color="144361" w:themeColor="accent1"/>
          <w:right w:val="single" w:sz="8" w:space="0" w:color="144361" w:themeColor="accent1"/>
          <w:insideH w:val="nil"/>
          <w:insideV w:val="single" w:sz="8" w:space="0" w:color="14436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4361" w:themeColor="accent1"/>
          <w:left w:val="single" w:sz="8" w:space="0" w:color="144361" w:themeColor="accent1"/>
          <w:bottom w:val="single" w:sz="8" w:space="0" w:color="144361" w:themeColor="accent1"/>
          <w:right w:val="single" w:sz="8" w:space="0" w:color="144361" w:themeColor="accent1"/>
        </w:tcBorders>
      </w:tcPr>
    </w:tblStylePr>
    <w:tblStylePr w:type="band1Vert">
      <w:tblPr/>
      <w:tcPr>
        <w:tcBorders>
          <w:top w:val="single" w:sz="8" w:space="0" w:color="144361" w:themeColor="accent1"/>
          <w:left w:val="single" w:sz="8" w:space="0" w:color="144361" w:themeColor="accent1"/>
          <w:bottom w:val="single" w:sz="8" w:space="0" w:color="144361" w:themeColor="accent1"/>
          <w:right w:val="single" w:sz="8" w:space="0" w:color="144361" w:themeColor="accent1"/>
        </w:tcBorders>
        <w:shd w:val="clear" w:color="auto" w:fill="AED5EE" w:themeFill="accent1" w:themeFillTint="3F"/>
      </w:tcPr>
    </w:tblStylePr>
    <w:tblStylePr w:type="band1Horz">
      <w:tblPr/>
      <w:tcPr>
        <w:tcBorders>
          <w:top w:val="single" w:sz="8" w:space="0" w:color="144361" w:themeColor="accent1"/>
          <w:left w:val="single" w:sz="8" w:space="0" w:color="144361" w:themeColor="accent1"/>
          <w:bottom w:val="single" w:sz="8" w:space="0" w:color="144361" w:themeColor="accent1"/>
          <w:right w:val="single" w:sz="8" w:space="0" w:color="144361" w:themeColor="accent1"/>
          <w:insideV w:val="single" w:sz="8" w:space="0" w:color="144361" w:themeColor="accent1"/>
        </w:tcBorders>
        <w:shd w:val="clear" w:color="auto" w:fill="AED5EE" w:themeFill="accent1" w:themeFillTint="3F"/>
      </w:tcPr>
    </w:tblStylePr>
    <w:tblStylePr w:type="band2Horz">
      <w:tblPr/>
      <w:tcPr>
        <w:tcBorders>
          <w:top w:val="single" w:sz="8" w:space="0" w:color="144361" w:themeColor="accent1"/>
          <w:left w:val="single" w:sz="8" w:space="0" w:color="144361" w:themeColor="accent1"/>
          <w:bottom w:val="single" w:sz="8" w:space="0" w:color="144361" w:themeColor="accent1"/>
          <w:right w:val="single" w:sz="8" w:space="0" w:color="144361" w:themeColor="accent1"/>
          <w:insideV w:val="single" w:sz="8" w:space="0" w:color="144361" w:themeColor="accent1"/>
        </w:tcBorders>
      </w:tcPr>
    </w:tblStylePr>
  </w:style>
  <w:style w:type="table" w:styleId="LightGrid-Accent2">
    <w:name w:val="Light Grid Accent 2"/>
    <w:basedOn w:val="TableNormal"/>
    <w:uiPriority w:val="62"/>
    <w:rsid w:val="00F72739"/>
    <w:pPr>
      <w:spacing w:after="0" w:line="240" w:lineRule="auto"/>
    </w:pPr>
    <w:tblPr>
      <w:tblStyleRowBandSize w:val="1"/>
      <w:tblStyleColBandSize w:val="1"/>
      <w:tblBorders>
        <w:top w:val="single" w:sz="8" w:space="0" w:color="428FC2" w:themeColor="accent2"/>
        <w:left w:val="single" w:sz="8" w:space="0" w:color="428FC2" w:themeColor="accent2"/>
        <w:bottom w:val="single" w:sz="8" w:space="0" w:color="428FC2" w:themeColor="accent2"/>
        <w:right w:val="single" w:sz="8" w:space="0" w:color="428FC2" w:themeColor="accent2"/>
        <w:insideH w:val="single" w:sz="8" w:space="0" w:color="428FC2" w:themeColor="accent2"/>
        <w:insideV w:val="single" w:sz="8" w:space="0" w:color="428FC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28FC2" w:themeColor="accent2"/>
          <w:left w:val="single" w:sz="8" w:space="0" w:color="428FC2" w:themeColor="accent2"/>
          <w:bottom w:val="single" w:sz="18" w:space="0" w:color="428FC2" w:themeColor="accent2"/>
          <w:right w:val="single" w:sz="8" w:space="0" w:color="428FC2" w:themeColor="accent2"/>
          <w:insideH w:val="nil"/>
          <w:insideV w:val="single" w:sz="8" w:space="0" w:color="428FC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8FC2" w:themeColor="accent2"/>
          <w:left w:val="single" w:sz="8" w:space="0" w:color="428FC2" w:themeColor="accent2"/>
          <w:bottom w:val="single" w:sz="8" w:space="0" w:color="428FC2" w:themeColor="accent2"/>
          <w:right w:val="single" w:sz="8" w:space="0" w:color="428FC2" w:themeColor="accent2"/>
          <w:insideH w:val="nil"/>
          <w:insideV w:val="single" w:sz="8" w:space="0" w:color="428FC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8FC2" w:themeColor="accent2"/>
          <w:left w:val="single" w:sz="8" w:space="0" w:color="428FC2" w:themeColor="accent2"/>
          <w:bottom w:val="single" w:sz="8" w:space="0" w:color="428FC2" w:themeColor="accent2"/>
          <w:right w:val="single" w:sz="8" w:space="0" w:color="428FC2" w:themeColor="accent2"/>
        </w:tcBorders>
      </w:tcPr>
    </w:tblStylePr>
    <w:tblStylePr w:type="band1Vert">
      <w:tblPr/>
      <w:tcPr>
        <w:tcBorders>
          <w:top w:val="single" w:sz="8" w:space="0" w:color="428FC2" w:themeColor="accent2"/>
          <w:left w:val="single" w:sz="8" w:space="0" w:color="428FC2" w:themeColor="accent2"/>
          <w:bottom w:val="single" w:sz="8" w:space="0" w:color="428FC2" w:themeColor="accent2"/>
          <w:right w:val="single" w:sz="8" w:space="0" w:color="428FC2" w:themeColor="accent2"/>
        </w:tcBorders>
        <w:shd w:val="clear" w:color="auto" w:fill="D0E3F0" w:themeFill="accent2" w:themeFillTint="3F"/>
      </w:tcPr>
    </w:tblStylePr>
    <w:tblStylePr w:type="band1Horz">
      <w:tblPr/>
      <w:tcPr>
        <w:tcBorders>
          <w:top w:val="single" w:sz="8" w:space="0" w:color="428FC2" w:themeColor="accent2"/>
          <w:left w:val="single" w:sz="8" w:space="0" w:color="428FC2" w:themeColor="accent2"/>
          <w:bottom w:val="single" w:sz="8" w:space="0" w:color="428FC2" w:themeColor="accent2"/>
          <w:right w:val="single" w:sz="8" w:space="0" w:color="428FC2" w:themeColor="accent2"/>
          <w:insideV w:val="single" w:sz="8" w:space="0" w:color="428FC2" w:themeColor="accent2"/>
        </w:tcBorders>
        <w:shd w:val="clear" w:color="auto" w:fill="D0E3F0" w:themeFill="accent2" w:themeFillTint="3F"/>
      </w:tcPr>
    </w:tblStylePr>
    <w:tblStylePr w:type="band2Horz">
      <w:tblPr/>
      <w:tcPr>
        <w:tcBorders>
          <w:top w:val="single" w:sz="8" w:space="0" w:color="428FC2" w:themeColor="accent2"/>
          <w:left w:val="single" w:sz="8" w:space="0" w:color="428FC2" w:themeColor="accent2"/>
          <w:bottom w:val="single" w:sz="8" w:space="0" w:color="428FC2" w:themeColor="accent2"/>
          <w:right w:val="single" w:sz="8" w:space="0" w:color="428FC2" w:themeColor="accent2"/>
          <w:insideV w:val="single" w:sz="8" w:space="0" w:color="428FC2" w:themeColor="accent2"/>
        </w:tcBorders>
      </w:tcPr>
    </w:tblStylePr>
  </w:style>
  <w:style w:type="table" w:styleId="LightGrid-Accent3">
    <w:name w:val="Light Grid Accent 3"/>
    <w:basedOn w:val="TableNormal"/>
    <w:uiPriority w:val="62"/>
    <w:rsid w:val="00F72739"/>
    <w:pPr>
      <w:spacing w:after="0" w:line="240" w:lineRule="auto"/>
    </w:pPr>
    <w:tblPr>
      <w:tblStyleRowBandSize w:val="1"/>
      <w:tblStyleColBandSize w:val="1"/>
      <w:tblBorders>
        <w:top w:val="single" w:sz="8" w:space="0" w:color="3D3C3C" w:themeColor="accent3"/>
        <w:left w:val="single" w:sz="8" w:space="0" w:color="3D3C3C" w:themeColor="accent3"/>
        <w:bottom w:val="single" w:sz="8" w:space="0" w:color="3D3C3C" w:themeColor="accent3"/>
        <w:right w:val="single" w:sz="8" w:space="0" w:color="3D3C3C" w:themeColor="accent3"/>
        <w:insideH w:val="single" w:sz="8" w:space="0" w:color="3D3C3C" w:themeColor="accent3"/>
        <w:insideV w:val="single" w:sz="8" w:space="0" w:color="3D3C3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3C3C" w:themeColor="accent3"/>
          <w:left w:val="single" w:sz="8" w:space="0" w:color="3D3C3C" w:themeColor="accent3"/>
          <w:bottom w:val="single" w:sz="18" w:space="0" w:color="3D3C3C" w:themeColor="accent3"/>
          <w:right w:val="single" w:sz="8" w:space="0" w:color="3D3C3C" w:themeColor="accent3"/>
          <w:insideH w:val="nil"/>
          <w:insideV w:val="single" w:sz="8" w:space="0" w:color="3D3C3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3C3C" w:themeColor="accent3"/>
          <w:left w:val="single" w:sz="8" w:space="0" w:color="3D3C3C" w:themeColor="accent3"/>
          <w:bottom w:val="single" w:sz="8" w:space="0" w:color="3D3C3C" w:themeColor="accent3"/>
          <w:right w:val="single" w:sz="8" w:space="0" w:color="3D3C3C" w:themeColor="accent3"/>
          <w:insideH w:val="nil"/>
          <w:insideV w:val="single" w:sz="8" w:space="0" w:color="3D3C3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3C3C" w:themeColor="accent3"/>
          <w:left w:val="single" w:sz="8" w:space="0" w:color="3D3C3C" w:themeColor="accent3"/>
          <w:bottom w:val="single" w:sz="8" w:space="0" w:color="3D3C3C" w:themeColor="accent3"/>
          <w:right w:val="single" w:sz="8" w:space="0" w:color="3D3C3C" w:themeColor="accent3"/>
        </w:tcBorders>
      </w:tcPr>
    </w:tblStylePr>
    <w:tblStylePr w:type="band1Vert">
      <w:tblPr/>
      <w:tcPr>
        <w:tcBorders>
          <w:top w:val="single" w:sz="8" w:space="0" w:color="3D3C3C" w:themeColor="accent3"/>
          <w:left w:val="single" w:sz="8" w:space="0" w:color="3D3C3C" w:themeColor="accent3"/>
          <w:bottom w:val="single" w:sz="8" w:space="0" w:color="3D3C3C" w:themeColor="accent3"/>
          <w:right w:val="single" w:sz="8" w:space="0" w:color="3D3C3C" w:themeColor="accent3"/>
        </w:tcBorders>
        <w:shd w:val="clear" w:color="auto" w:fill="CFCECE" w:themeFill="accent3" w:themeFillTint="3F"/>
      </w:tcPr>
    </w:tblStylePr>
    <w:tblStylePr w:type="band1Horz">
      <w:tblPr/>
      <w:tcPr>
        <w:tcBorders>
          <w:top w:val="single" w:sz="8" w:space="0" w:color="3D3C3C" w:themeColor="accent3"/>
          <w:left w:val="single" w:sz="8" w:space="0" w:color="3D3C3C" w:themeColor="accent3"/>
          <w:bottom w:val="single" w:sz="8" w:space="0" w:color="3D3C3C" w:themeColor="accent3"/>
          <w:right w:val="single" w:sz="8" w:space="0" w:color="3D3C3C" w:themeColor="accent3"/>
          <w:insideV w:val="single" w:sz="8" w:space="0" w:color="3D3C3C" w:themeColor="accent3"/>
        </w:tcBorders>
        <w:shd w:val="clear" w:color="auto" w:fill="CFCECE" w:themeFill="accent3" w:themeFillTint="3F"/>
      </w:tcPr>
    </w:tblStylePr>
    <w:tblStylePr w:type="band2Horz">
      <w:tblPr/>
      <w:tcPr>
        <w:tcBorders>
          <w:top w:val="single" w:sz="8" w:space="0" w:color="3D3C3C" w:themeColor="accent3"/>
          <w:left w:val="single" w:sz="8" w:space="0" w:color="3D3C3C" w:themeColor="accent3"/>
          <w:bottom w:val="single" w:sz="8" w:space="0" w:color="3D3C3C" w:themeColor="accent3"/>
          <w:right w:val="single" w:sz="8" w:space="0" w:color="3D3C3C" w:themeColor="accent3"/>
          <w:insideV w:val="single" w:sz="8" w:space="0" w:color="3D3C3C" w:themeColor="accent3"/>
        </w:tcBorders>
      </w:tcPr>
    </w:tblStylePr>
  </w:style>
  <w:style w:type="table" w:styleId="LightGrid-Accent4">
    <w:name w:val="Light Grid Accent 4"/>
    <w:basedOn w:val="TableNormal"/>
    <w:uiPriority w:val="62"/>
    <w:rsid w:val="00F72739"/>
    <w:pPr>
      <w:spacing w:after="0" w:line="240" w:lineRule="auto"/>
    </w:pPr>
    <w:tblPr>
      <w:tblStyleRowBandSize w:val="1"/>
      <w:tblStyleColBandSize w:val="1"/>
      <w:tblBorders>
        <w:top w:val="single" w:sz="8" w:space="0" w:color="858585" w:themeColor="accent4"/>
        <w:left w:val="single" w:sz="8" w:space="0" w:color="858585" w:themeColor="accent4"/>
        <w:bottom w:val="single" w:sz="8" w:space="0" w:color="858585" w:themeColor="accent4"/>
        <w:right w:val="single" w:sz="8" w:space="0" w:color="858585" w:themeColor="accent4"/>
        <w:insideH w:val="single" w:sz="8" w:space="0" w:color="858585" w:themeColor="accent4"/>
        <w:insideV w:val="single" w:sz="8" w:space="0" w:color="85858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8585" w:themeColor="accent4"/>
          <w:left w:val="single" w:sz="8" w:space="0" w:color="858585" w:themeColor="accent4"/>
          <w:bottom w:val="single" w:sz="18" w:space="0" w:color="858585" w:themeColor="accent4"/>
          <w:right w:val="single" w:sz="8" w:space="0" w:color="858585" w:themeColor="accent4"/>
          <w:insideH w:val="nil"/>
          <w:insideV w:val="single" w:sz="8" w:space="0" w:color="85858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8585" w:themeColor="accent4"/>
          <w:left w:val="single" w:sz="8" w:space="0" w:color="858585" w:themeColor="accent4"/>
          <w:bottom w:val="single" w:sz="8" w:space="0" w:color="858585" w:themeColor="accent4"/>
          <w:right w:val="single" w:sz="8" w:space="0" w:color="858585" w:themeColor="accent4"/>
          <w:insideH w:val="nil"/>
          <w:insideV w:val="single" w:sz="8" w:space="0" w:color="85858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8585" w:themeColor="accent4"/>
          <w:left w:val="single" w:sz="8" w:space="0" w:color="858585" w:themeColor="accent4"/>
          <w:bottom w:val="single" w:sz="8" w:space="0" w:color="858585" w:themeColor="accent4"/>
          <w:right w:val="single" w:sz="8" w:space="0" w:color="858585" w:themeColor="accent4"/>
        </w:tcBorders>
      </w:tcPr>
    </w:tblStylePr>
    <w:tblStylePr w:type="band1Vert">
      <w:tblPr/>
      <w:tcPr>
        <w:tcBorders>
          <w:top w:val="single" w:sz="8" w:space="0" w:color="858585" w:themeColor="accent4"/>
          <w:left w:val="single" w:sz="8" w:space="0" w:color="858585" w:themeColor="accent4"/>
          <w:bottom w:val="single" w:sz="8" w:space="0" w:color="858585" w:themeColor="accent4"/>
          <w:right w:val="single" w:sz="8" w:space="0" w:color="858585" w:themeColor="accent4"/>
        </w:tcBorders>
        <w:shd w:val="clear" w:color="auto" w:fill="E0E0E0" w:themeFill="accent4" w:themeFillTint="3F"/>
      </w:tcPr>
    </w:tblStylePr>
    <w:tblStylePr w:type="band1Horz">
      <w:tblPr/>
      <w:tcPr>
        <w:tcBorders>
          <w:top w:val="single" w:sz="8" w:space="0" w:color="858585" w:themeColor="accent4"/>
          <w:left w:val="single" w:sz="8" w:space="0" w:color="858585" w:themeColor="accent4"/>
          <w:bottom w:val="single" w:sz="8" w:space="0" w:color="858585" w:themeColor="accent4"/>
          <w:right w:val="single" w:sz="8" w:space="0" w:color="858585" w:themeColor="accent4"/>
          <w:insideV w:val="single" w:sz="8" w:space="0" w:color="858585" w:themeColor="accent4"/>
        </w:tcBorders>
        <w:shd w:val="clear" w:color="auto" w:fill="E0E0E0" w:themeFill="accent4" w:themeFillTint="3F"/>
      </w:tcPr>
    </w:tblStylePr>
    <w:tblStylePr w:type="band2Horz">
      <w:tblPr/>
      <w:tcPr>
        <w:tcBorders>
          <w:top w:val="single" w:sz="8" w:space="0" w:color="858585" w:themeColor="accent4"/>
          <w:left w:val="single" w:sz="8" w:space="0" w:color="858585" w:themeColor="accent4"/>
          <w:bottom w:val="single" w:sz="8" w:space="0" w:color="858585" w:themeColor="accent4"/>
          <w:right w:val="single" w:sz="8" w:space="0" w:color="858585" w:themeColor="accent4"/>
          <w:insideV w:val="single" w:sz="8" w:space="0" w:color="858585" w:themeColor="accent4"/>
        </w:tcBorders>
      </w:tcPr>
    </w:tblStylePr>
  </w:style>
  <w:style w:type="table" w:styleId="LightGrid-Accent5">
    <w:name w:val="Light Grid Accent 5"/>
    <w:basedOn w:val="TableNormal"/>
    <w:uiPriority w:val="62"/>
    <w:rsid w:val="00F72739"/>
    <w:pPr>
      <w:spacing w:after="0" w:line="240" w:lineRule="auto"/>
    </w:pPr>
    <w:tblPr>
      <w:tblStyleRowBandSize w:val="1"/>
      <w:tblStyleColBandSize w:val="1"/>
      <w:tblBorders>
        <w:top w:val="single" w:sz="8" w:space="0" w:color="0071A1" w:themeColor="accent5"/>
        <w:left w:val="single" w:sz="8" w:space="0" w:color="0071A1" w:themeColor="accent5"/>
        <w:bottom w:val="single" w:sz="8" w:space="0" w:color="0071A1" w:themeColor="accent5"/>
        <w:right w:val="single" w:sz="8" w:space="0" w:color="0071A1" w:themeColor="accent5"/>
        <w:insideH w:val="single" w:sz="8" w:space="0" w:color="0071A1" w:themeColor="accent5"/>
        <w:insideV w:val="single" w:sz="8" w:space="0" w:color="0071A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A1" w:themeColor="accent5"/>
          <w:left w:val="single" w:sz="8" w:space="0" w:color="0071A1" w:themeColor="accent5"/>
          <w:bottom w:val="single" w:sz="18" w:space="0" w:color="0071A1" w:themeColor="accent5"/>
          <w:right w:val="single" w:sz="8" w:space="0" w:color="0071A1" w:themeColor="accent5"/>
          <w:insideH w:val="nil"/>
          <w:insideV w:val="single" w:sz="8" w:space="0" w:color="0071A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A1" w:themeColor="accent5"/>
          <w:left w:val="single" w:sz="8" w:space="0" w:color="0071A1" w:themeColor="accent5"/>
          <w:bottom w:val="single" w:sz="8" w:space="0" w:color="0071A1" w:themeColor="accent5"/>
          <w:right w:val="single" w:sz="8" w:space="0" w:color="0071A1" w:themeColor="accent5"/>
          <w:insideH w:val="nil"/>
          <w:insideV w:val="single" w:sz="8" w:space="0" w:color="0071A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A1" w:themeColor="accent5"/>
          <w:left w:val="single" w:sz="8" w:space="0" w:color="0071A1" w:themeColor="accent5"/>
          <w:bottom w:val="single" w:sz="8" w:space="0" w:color="0071A1" w:themeColor="accent5"/>
          <w:right w:val="single" w:sz="8" w:space="0" w:color="0071A1" w:themeColor="accent5"/>
        </w:tcBorders>
      </w:tcPr>
    </w:tblStylePr>
    <w:tblStylePr w:type="band1Vert">
      <w:tblPr/>
      <w:tcPr>
        <w:tcBorders>
          <w:top w:val="single" w:sz="8" w:space="0" w:color="0071A1" w:themeColor="accent5"/>
          <w:left w:val="single" w:sz="8" w:space="0" w:color="0071A1" w:themeColor="accent5"/>
          <w:bottom w:val="single" w:sz="8" w:space="0" w:color="0071A1" w:themeColor="accent5"/>
          <w:right w:val="single" w:sz="8" w:space="0" w:color="0071A1" w:themeColor="accent5"/>
        </w:tcBorders>
        <w:shd w:val="clear" w:color="auto" w:fill="A8E4FF" w:themeFill="accent5" w:themeFillTint="3F"/>
      </w:tcPr>
    </w:tblStylePr>
    <w:tblStylePr w:type="band1Horz">
      <w:tblPr/>
      <w:tcPr>
        <w:tcBorders>
          <w:top w:val="single" w:sz="8" w:space="0" w:color="0071A1" w:themeColor="accent5"/>
          <w:left w:val="single" w:sz="8" w:space="0" w:color="0071A1" w:themeColor="accent5"/>
          <w:bottom w:val="single" w:sz="8" w:space="0" w:color="0071A1" w:themeColor="accent5"/>
          <w:right w:val="single" w:sz="8" w:space="0" w:color="0071A1" w:themeColor="accent5"/>
          <w:insideV w:val="single" w:sz="8" w:space="0" w:color="0071A1" w:themeColor="accent5"/>
        </w:tcBorders>
        <w:shd w:val="clear" w:color="auto" w:fill="A8E4FF" w:themeFill="accent5" w:themeFillTint="3F"/>
      </w:tcPr>
    </w:tblStylePr>
    <w:tblStylePr w:type="band2Horz">
      <w:tblPr/>
      <w:tcPr>
        <w:tcBorders>
          <w:top w:val="single" w:sz="8" w:space="0" w:color="0071A1" w:themeColor="accent5"/>
          <w:left w:val="single" w:sz="8" w:space="0" w:color="0071A1" w:themeColor="accent5"/>
          <w:bottom w:val="single" w:sz="8" w:space="0" w:color="0071A1" w:themeColor="accent5"/>
          <w:right w:val="single" w:sz="8" w:space="0" w:color="0071A1" w:themeColor="accent5"/>
          <w:insideV w:val="single" w:sz="8" w:space="0" w:color="0071A1" w:themeColor="accent5"/>
        </w:tcBorders>
      </w:tcPr>
    </w:tblStylePr>
  </w:style>
  <w:style w:type="table" w:styleId="LightGrid-Accent6">
    <w:name w:val="Light Grid Accent 6"/>
    <w:basedOn w:val="TableNormal"/>
    <w:uiPriority w:val="62"/>
    <w:rsid w:val="00F72739"/>
    <w:pPr>
      <w:spacing w:after="0" w:line="240" w:lineRule="auto"/>
    </w:pPr>
    <w:tblPr>
      <w:tblStyleRowBandSize w:val="1"/>
      <w:tblStyleColBandSize w:val="1"/>
      <w:tblBorders>
        <w:top w:val="single" w:sz="8" w:space="0" w:color="144361" w:themeColor="accent6"/>
        <w:left w:val="single" w:sz="8" w:space="0" w:color="144361" w:themeColor="accent6"/>
        <w:bottom w:val="single" w:sz="8" w:space="0" w:color="144361" w:themeColor="accent6"/>
        <w:right w:val="single" w:sz="8" w:space="0" w:color="144361" w:themeColor="accent6"/>
        <w:insideH w:val="single" w:sz="8" w:space="0" w:color="144361" w:themeColor="accent6"/>
        <w:insideV w:val="single" w:sz="8" w:space="0" w:color="14436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4361" w:themeColor="accent6"/>
          <w:left w:val="single" w:sz="8" w:space="0" w:color="144361" w:themeColor="accent6"/>
          <w:bottom w:val="single" w:sz="18" w:space="0" w:color="144361" w:themeColor="accent6"/>
          <w:right w:val="single" w:sz="8" w:space="0" w:color="144361" w:themeColor="accent6"/>
          <w:insideH w:val="nil"/>
          <w:insideV w:val="single" w:sz="8" w:space="0" w:color="14436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4361" w:themeColor="accent6"/>
          <w:left w:val="single" w:sz="8" w:space="0" w:color="144361" w:themeColor="accent6"/>
          <w:bottom w:val="single" w:sz="8" w:space="0" w:color="144361" w:themeColor="accent6"/>
          <w:right w:val="single" w:sz="8" w:space="0" w:color="144361" w:themeColor="accent6"/>
          <w:insideH w:val="nil"/>
          <w:insideV w:val="single" w:sz="8" w:space="0" w:color="14436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4361" w:themeColor="accent6"/>
          <w:left w:val="single" w:sz="8" w:space="0" w:color="144361" w:themeColor="accent6"/>
          <w:bottom w:val="single" w:sz="8" w:space="0" w:color="144361" w:themeColor="accent6"/>
          <w:right w:val="single" w:sz="8" w:space="0" w:color="144361" w:themeColor="accent6"/>
        </w:tcBorders>
      </w:tcPr>
    </w:tblStylePr>
    <w:tblStylePr w:type="band1Vert">
      <w:tblPr/>
      <w:tcPr>
        <w:tcBorders>
          <w:top w:val="single" w:sz="8" w:space="0" w:color="144361" w:themeColor="accent6"/>
          <w:left w:val="single" w:sz="8" w:space="0" w:color="144361" w:themeColor="accent6"/>
          <w:bottom w:val="single" w:sz="8" w:space="0" w:color="144361" w:themeColor="accent6"/>
          <w:right w:val="single" w:sz="8" w:space="0" w:color="144361" w:themeColor="accent6"/>
        </w:tcBorders>
        <w:shd w:val="clear" w:color="auto" w:fill="AED5EE" w:themeFill="accent6" w:themeFillTint="3F"/>
      </w:tcPr>
    </w:tblStylePr>
    <w:tblStylePr w:type="band1Horz">
      <w:tblPr/>
      <w:tcPr>
        <w:tcBorders>
          <w:top w:val="single" w:sz="8" w:space="0" w:color="144361" w:themeColor="accent6"/>
          <w:left w:val="single" w:sz="8" w:space="0" w:color="144361" w:themeColor="accent6"/>
          <w:bottom w:val="single" w:sz="8" w:space="0" w:color="144361" w:themeColor="accent6"/>
          <w:right w:val="single" w:sz="8" w:space="0" w:color="144361" w:themeColor="accent6"/>
          <w:insideV w:val="single" w:sz="8" w:space="0" w:color="144361" w:themeColor="accent6"/>
        </w:tcBorders>
        <w:shd w:val="clear" w:color="auto" w:fill="AED5EE" w:themeFill="accent6" w:themeFillTint="3F"/>
      </w:tcPr>
    </w:tblStylePr>
    <w:tblStylePr w:type="band2Horz">
      <w:tblPr/>
      <w:tcPr>
        <w:tcBorders>
          <w:top w:val="single" w:sz="8" w:space="0" w:color="144361" w:themeColor="accent6"/>
          <w:left w:val="single" w:sz="8" w:space="0" w:color="144361" w:themeColor="accent6"/>
          <w:bottom w:val="single" w:sz="8" w:space="0" w:color="144361" w:themeColor="accent6"/>
          <w:right w:val="single" w:sz="8" w:space="0" w:color="144361" w:themeColor="accent6"/>
          <w:insideV w:val="single" w:sz="8" w:space="0" w:color="144361" w:themeColor="accent6"/>
        </w:tcBorders>
      </w:tcPr>
    </w:tblStylePr>
  </w:style>
  <w:style w:type="table" w:styleId="MediumList1">
    <w:name w:val="Medium List 1"/>
    <w:basedOn w:val="TableNormal"/>
    <w:uiPriority w:val="65"/>
    <w:rsid w:val="00F7273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4436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72739"/>
    <w:pPr>
      <w:spacing w:after="0" w:line="240" w:lineRule="auto"/>
    </w:pPr>
    <w:rPr>
      <w:color w:val="000000" w:themeColor="text1"/>
    </w:rPr>
    <w:tblPr>
      <w:tblStyleRowBandSize w:val="1"/>
      <w:tblStyleColBandSize w:val="1"/>
      <w:tblBorders>
        <w:top w:val="single" w:sz="8" w:space="0" w:color="144361" w:themeColor="accent1"/>
        <w:bottom w:val="single" w:sz="8" w:space="0" w:color="144361" w:themeColor="accent1"/>
      </w:tblBorders>
    </w:tblPr>
    <w:tblStylePr w:type="firstRow">
      <w:rPr>
        <w:rFonts w:asciiTheme="majorHAnsi" w:eastAsiaTheme="majorEastAsia" w:hAnsiTheme="majorHAnsi" w:cstheme="majorBidi"/>
      </w:rPr>
      <w:tblPr/>
      <w:tcPr>
        <w:tcBorders>
          <w:top w:val="nil"/>
          <w:bottom w:val="single" w:sz="8" w:space="0" w:color="144361" w:themeColor="accent1"/>
        </w:tcBorders>
      </w:tcPr>
    </w:tblStylePr>
    <w:tblStylePr w:type="lastRow">
      <w:rPr>
        <w:b/>
        <w:bCs/>
        <w:color w:val="144361" w:themeColor="text2"/>
      </w:rPr>
      <w:tblPr/>
      <w:tcPr>
        <w:tcBorders>
          <w:top w:val="single" w:sz="8" w:space="0" w:color="144361" w:themeColor="accent1"/>
          <w:bottom w:val="single" w:sz="8" w:space="0" w:color="144361" w:themeColor="accent1"/>
        </w:tcBorders>
      </w:tcPr>
    </w:tblStylePr>
    <w:tblStylePr w:type="firstCol">
      <w:rPr>
        <w:b/>
        <w:bCs/>
      </w:rPr>
    </w:tblStylePr>
    <w:tblStylePr w:type="lastCol">
      <w:rPr>
        <w:b/>
        <w:bCs/>
      </w:rPr>
      <w:tblPr/>
      <w:tcPr>
        <w:tcBorders>
          <w:top w:val="single" w:sz="8" w:space="0" w:color="144361" w:themeColor="accent1"/>
          <w:bottom w:val="single" w:sz="8" w:space="0" w:color="144361" w:themeColor="accent1"/>
        </w:tcBorders>
      </w:tcPr>
    </w:tblStylePr>
    <w:tblStylePr w:type="band1Vert">
      <w:tblPr/>
      <w:tcPr>
        <w:shd w:val="clear" w:color="auto" w:fill="AED5EE" w:themeFill="accent1" w:themeFillTint="3F"/>
      </w:tcPr>
    </w:tblStylePr>
    <w:tblStylePr w:type="band1Horz">
      <w:tblPr/>
      <w:tcPr>
        <w:shd w:val="clear" w:color="auto" w:fill="AED5EE" w:themeFill="accent1" w:themeFillTint="3F"/>
      </w:tcPr>
    </w:tblStylePr>
  </w:style>
  <w:style w:type="table" w:styleId="MediumList1-Accent2">
    <w:name w:val="Medium List 1 Accent 2"/>
    <w:basedOn w:val="TableNormal"/>
    <w:uiPriority w:val="65"/>
    <w:rsid w:val="00F72739"/>
    <w:pPr>
      <w:spacing w:after="0" w:line="240" w:lineRule="auto"/>
    </w:pPr>
    <w:rPr>
      <w:color w:val="000000" w:themeColor="text1"/>
    </w:rPr>
    <w:tblPr>
      <w:tblStyleRowBandSize w:val="1"/>
      <w:tblStyleColBandSize w:val="1"/>
      <w:tblBorders>
        <w:top w:val="single" w:sz="8" w:space="0" w:color="428FC2" w:themeColor="accent2"/>
        <w:bottom w:val="single" w:sz="8" w:space="0" w:color="428FC2" w:themeColor="accent2"/>
      </w:tblBorders>
    </w:tblPr>
    <w:tblStylePr w:type="firstRow">
      <w:rPr>
        <w:rFonts w:asciiTheme="majorHAnsi" w:eastAsiaTheme="majorEastAsia" w:hAnsiTheme="majorHAnsi" w:cstheme="majorBidi"/>
      </w:rPr>
      <w:tblPr/>
      <w:tcPr>
        <w:tcBorders>
          <w:top w:val="nil"/>
          <w:bottom w:val="single" w:sz="8" w:space="0" w:color="428FC2" w:themeColor="accent2"/>
        </w:tcBorders>
      </w:tcPr>
    </w:tblStylePr>
    <w:tblStylePr w:type="lastRow">
      <w:rPr>
        <w:b/>
        <w:bCs/>
        <w:color w:val="144361" w:themeColor="text2"/>
      </w:rPr>
      <w:tblPr/>
      <w:tcPr>
        <w:tcBorders>
          <w:top w:val="single" w:sz="8" w:space="0" w:color="428FC2" w:themeColor="accent2"/>
          <w:bottom w:val="single" w:sz="8" w:space="0" w:color="428FC2" w:themeColor="accent2"/>
        </w:tcBorders>
      </w:tcPr>
    </w:tblStylePr>
    <w:tblStylePr w:type="firstCol">
      <w:rPr>
        <w:b/>
        <w:bCs/>
      </w:rPr>
    </w:tblStylePr>
    <w:tblStylePr w:type="lastCol">
      <w:rPr>
        <w:b/>
        <w:bCs/>
      </w:rPr>
      <w:tblPr/>
      <w:tcPr>
        <w:tcBorders>
          <w:top w:val="single" w:sz="8" w:space="0" w:color="428FC2" w:themeColor="accent2"/>
          <w:bottom w:val="single" w:sz="8" w:space="0" w:color="428FC2" w:themeColor="accent2"/>
        </w:tcBorders>
      </w:tcPr>
    </w:tblStylePr>
    <w:tblStylePr w:type="band1Vert">
      <w:tblPr/>
      <w:tcPr>
        <w:shd w:val="clear" w:color="auto" w:fill="D0E3F0" w:themeFill="accent2" w:themeFillTint="3F"/>
      </w:tcPr>
    </w:tblStylePr>
    <w:tblStylePr w:type="band1Horz">
      <w:tblPr/>
      <w:tcPr>
        <w:shd w:val="clear" w:color="auto" w:fill="D0E3F0" w:themeFill="accent2" w:themeFillTint="3F"/>
      </w:tcPr>
    </w:tblStylePr>
  </w:style>
  <w:style w:type="table" w:styleId="MediumList1-Accent3">
    <w:name w:val="Medium List 1 Accent 3"/>
    <w:basedOn w:val="TableNormal"/>
    <w:uiPriority w:val="65"/>
    <w:rsid w:val="00F72739"/>
    <w:pPr>
      <w:spacing w:after="0" w:line="240" w:lineRule="auto"/>
    </w:pPr>
    <w:rPr>
      <w:color w:val="000000" w:themeColor="text1"/>
    </w:rPr>
    <w:tblPr>
      <w:tblStyleRowBandSize w:val="1"/>
      <w:tblStyleColBandSize w:val="1"/>
      <w:tblBorders>
        <w:top w:val="single" w:sz="8" w:space="0" w:color="3D3C3C" w:themeColor="accent3"/>
        <w:bottom w:val="single" w:sz="8" w:space="0" w:color="3D3C3C" w:themeColor="accent3"/>
      </w:tblBorders>
    </w:tblPr>
    <w:tblStylePr w:type="firstRow">
      <w:rPr>
        <w:rFonts w:asciiTheme="majorHAnsi" w:eastAsiaTheme="majorEastAsia" w:hAnsiTheme="majorHAnsi" w:cstheme="majorBidi"/>
      </w:rPr>
      <w:tblPr/>
      <w:tcPr>
        <w:tcBorders>
          <w:top w:val="nil"/>
          <w:bottom w:val="single" w:sz="8" w:space="0" w:color="3D3C3C" w:themeColor="accent3"/>
        </w:tcBorders>
      </w:tcPr>
    </w:tblStylePr>
    <w:tblStylePr w:type="lastRow">
      <w:rPr>
        <w:b/>
        <w:bCs/>
        <w:color w:val="144361" w:themeColor="text2"/>
      </w:rPr>
      <w:tblPr/>
      <w:tcPr>
        <w:tcBorders>
          <w:top w:val="single" w:sz="8" w:space="0" w:color="3D3C3C" w:themeColor="accent3"/>
          <w:bottom w:val="single" w:sz="8" w:space="0" w:color="3D3C3C" w:themeColor="accent3"/>
        </w:tcBorders>
      </w:tcPr>
    </w:tblStylePr>
    <w:tblStylePr w:type="firstCol">
      <w:rPr>
        <w:b/>
        <w:bCs/>
      </w:rPr>
    </w:tblStylePr>
    <w:tblStylePr w:type="lastCol">
      <w:rPr>
        <w:b/>
        <w:bCs/>
      </w:rPr>
      <w:tblPr/>
      <w:tcPr>
        <w:tcBorders>
          <w:top w:val="single" w:sz="8" w:space="0" w:color="3D3C3C" w:themeColor="accent3"/>
          <w:bottom w:val="single" w:sz="8" w:space="0" w:color="3D3C3C" w:themeColor="accent3"/>
        </w:tcBorders>
      </w:tcPr>
    </w:tblStylePr>
    <w:tblStylePr w:type="band1Vert">
      <w:tblPr/>
      <w:tcPr>
        <w:shd w:val="clear" w:color="auto" w:fill="CFCECE" w:themeFill="accent3" w:themeFillTint="3F"/>
      </w:tcPr>
    </w:tblStylePr>
    <w:tblStylePr w:type="band1Horz">
      <w:tblPr/>
      <w:tcPr>
        <w:shd w:val="clear" w:color="auto" w:fill="CFCECE" w:themeFill="accent3" w:themeFillTint="3F"/>
      </w:tcPr>
    </w:tblStylePr>
  </w:style>
  <w:style w:type="table" w:styleId="MediumList1-Accent4">
    <w:name w:val="Medium List 1 Accent 4"/>
    <w:basedOn w:val="TableNormal"/>
    <w:uiPriority w:val="65"/>
    <w:rsid w:val="00F72739"/>
    <w:pPr>
      <w:spacing w:after="0" w:line="240" w:lineRule="auto"/>
    </w:pPr>
    <w:rPr>
      <w:color w:val="000000" w:themeColor="text1"/>
    </w:rPr>
    <w:tblPr>
      <w:tblStyleRowBandSize w:val="1"/>
      <w:tblStyleColBandSize w:val="1"/>
      <w:tblBorders>
        <w:top w:val="single" w:sz="8" w:space="0" w:color="858585" w:themeColor="accent4"/>
        <w:bottom w:val="single" w:sz="8" w:space="0" w:color="858585" w:themeColor="accent4"/>
      </w:tblBorders>
    </w:tblPr>
    <w:tblStylePr w:type="firstRow">
      <w:rPr>
        <w:rFonts w:asciiTheme="majorHAnsi" w:eastAsiaTheme="majorEastAsia" w:hAnsiTheme="majorHAnsi" w:cstheme="majorBidi"/>
      </w:rPr>
      <w:tblPr/>
      <w:tcPr>
        <w:tcBorders>
          <w:top w:val="nil"/>
          <w:bottom w:val="single" w:sz="8" w:space="0" w:color="858585" w:themeColor="accent4"/>
        </w:tcBorders>
      </w:tcPr>
    </w:tblStylePr>
    <w:tblStylePr w:type="lastRow">
      <w:rPr>
        <w:b/>
        <w:bCs/>
        <w:color w:val="144361" w:themeColor="text2"/>
      </w:rPr>
      <w:tblPr/>
      <w:tcPr>
        <w:tcBorders>
          <w:top w:val="single" w:sz="8" w:space="0" w:color="858585" w:themeColor="accent4"/>
          <w:bottom w:val="single" w:sz="8" w:space="0" w:color="858585" w:themeColor="accent4"/>
        </w:tcBorders>
      </w:tcPr>
    </w:tblStylePr>
    <w:tblStylePr w:type="firstCol">
      <w:rPr>
        <w:b/>
        <w:bCs/>
      </w:rPr>
    </w:tblStylePr>
    <w:tblStylePr w:type="lastCol">
      <w:rPr>
        <w:b/>
        <w:bCs/>
      </w:rPr>
      <w:tblPr/>
      <w:tcPr>
        <w:tcBorders>
          <w:top w:val="single" w:sz="8" w:space="0" w:color="858585" w:themeColor="accent4"/>
          <w:bottom w:val="single" w:sz="8" w:space="0" w:color="858585" w:themeColor="accent4"/>
        </w:tcBorders>
      </w:tcPr>
    </w:tblStylePr>
    <w:tblStylePr w:type="band1Vert">
      <w:tblPr/>
      <w:tcPr>
        <w:shd w:val="clear" w:color="auto" w:fill="E0E0E0" w:themeFill="accent4" w:themeFillTint="3F"/>
      </w:tcPr>
    </w:tblStylePr>
    <w:tblStylePr w:type="band1Horz">
      <w:tblPr/>
      <w:tcPr>
        <w:shd w:val="clear" w:color="auto" w:fill="E0E0E0" w:themeFill="accent4" w:themeFillTint="3F"/>
      </w:tcPr>
    </w:tblStylePr>
  </w:style>
  <w:style w:type="table" w:styleId="MediumList1-Accent5">
    <w:name w:val="Medium List 1 Accent 5"/>
    <w:basedOn w:val="TableNormal"/>
    <w:uiPriority w:val="65"/>
    <w:rsid w:val="00F72739"/>
    <w:pPr>
      <w:spacing w:after="0" w:line="240" w:lineRule="auto"/>
    </w:pPr>
    <w:rPr>
      <w:color w:val="000000" w:themeColor="text1"/>
    </w:rPr>
    <w:tblPr>
      <w:tblStyleRowBandSize w:val="1"/>
      <w:tblStyleColBandSize w:val="1"/>
      <w:tblBorders>
        <w:top w:val="single" w:sz="8" w:space="0" w:color="0071A1" w:themeColor="accent5"/>
        <w:bottom w:val="single" w:sz="8" w:space="0" w:color="0071A1" w:themeColor="accent5"/>
      </w:tblBorders>
    </w:tblPr>
    <w:tblStylePr w:type="firstRow">
      <w:rPr>
        <w:rFonts w:asciiTheme="majorHAnsi" w:eastAsiaTheme="majorEastAsia" w:hAnsiTheme="majorHAnsi" w:cstheme="majorBidi"/>
      </w:rPr>
      <w:tblPr/>
      <w:tcPr>
        <w:tcBorders>
          <w:top w:val="nil"/>
          <w:bottom w:val="single" w:sz="8" w:space="0" w:color="0071A1" w:themeColor="accent5"/>
        </w:tcBorders>
      </w:tcPr>
    </w:tblStylePr>
    <w:tblStylePr w:type="lastRow">
      <w:rPr>
        <w:b/>
        <w:bCs/>
        <w:color w:val="144361" w:themeColor="text2"/>
      </w:rPr>
      <w:tblPr/>
      <w:tcPr>
        <w:tcBorders>
          <w:top w:val="single" w:sz="8" w:space="0" w:color="0071A1" w:themeColor="accent5"/>
          <w:bottom w:val="single" w:sz="8" w:space="0" w:color="0071A1" w:themeColor="accent5"/>
        </w:tcBorders>
      </w:tcPr>
    </w:tblStylePr>
    <w:tblStylePr w:type="firstCol">
      <w:rPr>
        <w:b/>
        <w:bCs/>
      </w:rPr>
    </w:tblStylePr>
    <w:tblStylePr w:type="lastCol">
      <w:rPr>
        <w:b/>
        <w:bCs/>
      </w:rPr>
      <w:tblPr/>
      <w:tcPr>
        <w:tcBorders>
          <w:top w:val="single" w:sz="8" w:space="0" w:color="0071A1" w:themeColor="accent5"/>
          <w:bottom w:val="single" w:sz="8" w:space="0" w:color="0071A1" w:themeColor="accent5"/>
        </w:tcBorders>
      </w:tcPr>
    </w:tblStylePr>
    <w:tblStylePr w:type="band1Vert">
      <w:tblPr/>
      <w:tcPr>
        <w:shd w:val="clear" w:color="auto" w:fill="A8E4FF" w:themeFill="accent5" w:themeFillTint="3F"/>
      </w:tcPr>
    </w:tblStylePr>
    <w:tblStylePr w:type="band1Horz">
      <w:tblPr/>
      <w:tcPr>
        <w:shd w:val="clear" w:color="auto" w:fill="A8E4FF" w:themeFill="accent5" w:themeFillTint="3F"/>
      </w:tcPr>
    </w:tblStylePr>
  </w:style>
  <w:style w:type="table" w:styleId="MediumList1-Accent6">
    <w:name w:val="Medium List 1 Accent 6"/>
    <w:basedOn w:val="TableNormal"/>
    <w:uiPriority w:val="65"/>
    <w:rsid w:val="00F72739"/>
    <w:pPr>
      <w:spacing w:after="0" w:line="240" w:lineRule="auto"/>
    </w:pPr>
    <w:rPr>
      <w:color w:val="000000" w:themeColor="text1"/>
    </w:rPr>
    <w:tblPr>
      <w:tblStyleRowBandSize w:val="1"/>
      <w:tblStyleColBandSize w:val="1"/>
      <w:tblBorders>
        <w:top w:val="single" w:sz="8" w:space="0" w:color="144361" w:themeColor="accent6"/>
        <w:bottom w:val="single" w:sz="8" w:space="0" w:color="144361" w:themeColor="accent6"/>
      </w:tblBorders>
    </w:tblPr>
    <w:tblStylePr w:type="firstRow">
      <w:rPr>
        <w:rFonts w:asciiTheme="majorHAnsi" w:eastAsiaTheme="majorEastAsia" w:hAnsiTheme="majorHAnsi" w:cstheme="majorBidi"/>
      </w:rPr>
      <w:tblPr/>
      <w:tcPr>
        <w:tcBorders>
          <w:top w:val="nil"/>
          <w:bottom w:val="single" w:sz="8" w:space="0" w:color="144361" w:themeColor="accent6"/>
        </w:tcBorders>
      </w:tcPr>
    </w:tblStylePr>
    <w:tblStylePr w:type="lastRow">
      <w:rPr>
        <w:b/>
        <w:bCs/>
        <w:color w:val="144361" w:themeColor="text2"/>
      </w:rPr>
      <w:tblPr/>
      <w:tcPr>
        <w:tcBorders>
          <w:top w:val="single" w:sz="8" w:space="0" w:color="144361" w:themeColor="accent6"/>
          <w:bottom w:val="single" w:sz="8" w:space="0" w:color="144361" w:themeColor="accent6"/>
        </w:tcBorders>
      </w:tcPr>
    </w:tblStylePr>
    <w:tblStylePr w:type="firstCol">
      <w:rPr>
        <w:b/>
        <w:bCs/>
      </w:rPr>
    </w:tblStylePr>
    <w:tblStylePr w:type="lastCol">
      <w:rPr>
        <w:b/>
        <w:bCs/>
      </w:rPr>
      <w:tblPr/>
      <w:tcPr>
        <w:tcBorders>
          <w:top w:val="single" w:sz="8" w:space="0" w:color="144361" w:themeColor="accent6"/>
          <w:bottom w:val="single" w:sz="8" w:space="0" w:color="144361" w:themeColor="accent6"/>
        </w:tcBorders>
      </w:tcPr>
    </w:tblStylePr>
    <w:tblStylePr w:type="band1Vert">
      <w:tblPr/>
      <w:tcPr>
        <w:shd w:val="clear" w:color="auto" w:fill="AED5EE" w:themeFill="accent6" w:themeFillTint="3F"/>
      </w:tcPr>
    </w:tblStylePr>
    <w:tblStylePr w:type="band1Horz">
      <w:tblPr/>
      <w:tcPr>
        <w:shd w:val="clear" w:color="auto" w:fill="AED5EE" w:themeFill="accent6" w:themeFillTint="3F"/>
      </w:tcPr>
    </w:tblStylePr>
  </w:style>
  <w:style w:type="table" w:styleId="MediumList2">
    <w:name w:val="Medium List 2"/>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4361" w:themeColor="accent1"/>
        <w:left w:val="single" w:sz="8" w:space="0" w:color="144361" w:themeColor="accent1"/>
        <w:bottom w:val="single" w:sz="8" w:space="0" w:color="144361" w:themeColor="accent1"/>
        <w:right w:val="single" w:sz="8" w:space="0" w:color="144361" w:themeColor="accent1"/>
      </w:tblBorders>
    </w:tblPr>
    <w:tblStylePr w:type="firstRow">
      <w:rPr>
        <w:sz w:val="24"/>
        <w:szCs w:val="24"/>
      </w:rPr>
      <w:tblPr/>
      <w:tcPr>
        <w:tcBorders>
          <w:top w:val="nil"/>
          <w:left w:val="nil"/>
          <w:bottom w:val="single" w:sz="24" w:space="0" w:color="144361" w:themeColor="accent1"/>
          <w:right w:val="nil"/>
          <w:insideH w:val="nil"/>
          <w:insideV w:val="nil"/>
        </w:tcBorders>
        <w:shd w:val="clear" w:color="auto" w:fill="FFFFFF" w:themeFill="background1"/>
      </w:tcPr>
    </w:tblStylePr>
    <w:tblStylePr w:type="lastRow">
      <w:tblPr/>
      <w:tcPr>
        <w:tcBorders>
          <w:top w:val="single" w:sz="8" w:space="0" w:color="14436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4361" w:themeColor="accent1"/>
          <w:insideH w:val="nil"/>
          <w:insideV w:val="nil"/>
        </w:tcBorders>
        <w:shd w:val="clear" w:color="auto" w:fill="FFFFFF" w:themeFill="background1"/>
      </w:tcPr>
    </w:tblStylePr>
    <w:tblStylePr w:type="lastCol">
      <w:tblPr/>
      <w:tcPr>
        <w:tcBorders>
          <w:top w:val="nil"/>
          <w:left w:val="single" w:sz="8" w:space="0" w:color="14436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5EE" w:themeFill="accent1" w:themeFillTint="3F"/>
      </w:tcPr>
    </w:tblStylePr>
    <w:tblStylePr w:type="band1Horz">
      <w:tblPr/>
      <w:tcPr>
        <w:tcBorders>
          <w:top w:val="nil"/>
          <w:bottom w:val="nil"/>
          <w:insideH w:val="nil"/>
          <w:insideV w:val="nil"/>
        </w:tcBorders>
        <w:shd w:val="clear" w:color="auto" w:fill="AED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C2" w:themeColor="accent2"/>
        <w:left w:val="single" w:sz="8" w:space="0" w:color="428FC2" w:themeColor="accent2"/>
        <w:bottom w:val="single" w:sz="8" w:space="0" w:color="428FC2" w:themeColor="accent2"/>
        <w:right w:val="single" w:sz="8" w:space="0" w:color="428FC2" w:themeColor="accent2"/>
      </w:tblBorders>
    </w:tblPr>
    <w:tblStylePr w:type="firstRow">
      <w:rPr>
        <w:sz w:val="24"/>
        <w:szCs w:val="24"/>
      </w:rPr>
      <w:tblPr/>
      <w:tcPr>
        <w:tcBorders>
          <w:top w:val="nil"/>
          <w:left w:val="nil"/>
          <w:bottom w:val="single" w:sz="24" w:space="0" w:color="428FC2" w:themeColor="accent2"/>
          <w:right w:val="nil"/>
          <w:insideH w:val="nil"/>
          <w:insideV w:val="nil"/>
        </w:tcBorders>
        <w:shd w:val="clear" w:color="auto" w:fill="FFFFFF" w:themeFill="background1"/>
      </w:tcPr>
    </w:tblStylePr>
    <w:tblStylePr w:type="lastRow">
      <w:tblPr/>
      <w:tcPr>
        <w:tcBorders>
          <w:top w:val="single" w:sz="8" w:space="0" w:color="428FC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8FC2" w:themeColor="accent2"/>
          <w:insideH w:val="nil"/>
          <w:insideV w:val="nil"/>
        </w:tcBorders>
        <w:shd w:val="clear" w:color="auto" w:fill="FFFFFF" w:themeFill="background1"/>
      </w:tcPr>
    </w:tblStylePr>
    <w:tblStylePr w:type="lastCol">
      <w:tblPr/>
      <w:tcPr>
        <w:tcBorders>
          <w:top w:val="nil"/>
          <w:left w:val="single" w:sz="8" w:space="0" w:color="428FC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3F0" w:themeFill="accent2" w:themeFillTint="3F"/>
      </w:tcPr>
    </w:tblStylePr>
    <w:tblStylePr w:type="band1Horz">
      <w:tblPr/>
      <w:tcPr>
        <w:tcBorders>
          <w:top w:val="nil"/>
          <w:bottom w:val="nil"/>
          <w:insideH w:val="nil"/>
          <w:insideV w:val="nil"/>
        </w:tcBorders>
        <w:shd w:val="clear" w:color="auto" w:fill="D0E3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3C3C" w:themeColor="accent3"/>
        <w:left w:val="single" w:sz="8" w:space="0" w:color="3D3C3C" w:themeColor="accent3"/>
        <w:bottom w:val="single" w:sz="8" w:space="0" w:color="3D3C3C" w:themeColor="accent3"/>
        <w:right w:val="single" w:sz="8" w:space="0" w:color="3D3C3C" w:themeColor="accent3"/>
      </w:tblBorders>
    </w:tblPr>
    <w:tblStylePr w:type="firstRow">
      <w:rPr>
        <w:sz w:val="24"/>
        <w:szCs w:val="24"/>
      </w:rPr>
      <w:tblPr/>
      <w:tcPr>
        <w:tcBorders>
          <w:top w:val="nil"/>
          <w:left w:val="nil"/>
          <w:bottom w:val="single" w:sz="24" w:space="0" w:color="3D3C3C" w:themeColor="accent3"/>
          <w:right w:val="nil"/>
          <w:insideH w:val="nil"/>
          <w:insideV w:val="nil"/>
        </w:tcBorders>
        <w:shd w:val="clear" w:color="auto" w:fill="FFFFFF" w:themeFill="background1"/>
      </w:tcPr>
    </w:tblStylePr>
    <w:tblStylePr w:type="lastRow">
      <w:tblPr/>
      <w:tcPr>
        <w:tcBorders>
          <w:top w:val="single" w:sz="8" w:space="0" w:color="3D3C3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3C3C" w:themeColor="accent3"/>
          <w:insideH w:val="nil"/>
          <w:insideV w:val="nil"/>
        </w:tcBorders>
        <w:shd w:val="clear" w:color="auto" w:fill="FFFFFF" w:themeFill="background1"/>
      </w:tcPr>
    </w:tblStylePr>
    <w:tblStylePr w:type="lastCol">
      <w:tblPr/>
      <w:tcPr>
        <w:tcBorders>
          <w:top w:val="nil"/>
          <w:left w:val="single" w:sz="8" w:space="0" w:color="3D3C3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ECE" w:themeFill="accent3" w:themeFillTint="3F"/>
      </w:tcPr>
    </w:tblStylePr>
    <w:tblStylePr w:type="band1Horz">
      <w:tblPr/>
      <w:tcPr>
        <w:tcBorders>
          <w:top w:val="nil"/>
          <w:bottom w:val="nil"/>
          <w:insideH w:val="nil"/>
          <w:insideV w:val="nil"/>
        </w:tcBorders>
        <w:shd w:val="clear" w:color="auto" w:fill="CFCEC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8585" w:themeColor="accent4"/>
        <w:left w:val="single" w:sz="8" w:space="0" w:color="858585" w:themeColor="accent4"/>
        <w:bottom w:val="single" w:sz="8" w:space="0" w:color="858585" w:themeColor="accent4"/>
        <w:right w:val="single" w:sz="8" w:space="0" w:color="858585" w:themeColor="accent4"/>
      </w:tblBorders>
    </w:tblPr>
    <w:tblStylePr w:type="firstRow">
      <w:rPr>
        <w:sz w:val="24"/>
        <w:szCs w:val="24"/>
      </w:rPr>
      <w:tblPr/>
      <w:tcPr>
        <w:tcBorders>
          <w:top w:val="nil"/>
          <w:left w:val="nil"/>
          <w:bottom w:val="single" w:sz="24" w:space="0" w:color="858585" w:themeColor="accent4"/>
          <w:right w:val="nil"/>
          <w:insideH w:val="nil"/>
          <w:insideV w:val="nil"/>
        </w:tcBorders>
        <w:shd w:val="clear" w:color="auto" w:fill="FFFFFF" w:themeFill="background1"/>
      </w:tcPr>
    </w:tblStylePr>
    <w:tblStylePr w:type="lastRow">
      <w:tblPr/>
      <w:tcPr>
        <w:tcBorders>
          <w:top w:val="single" w:sz="8" w:space="0" w:color="85858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8585" w:themeColor="accent4"/>
          <w:insideH w:val="nil"/>
          <w:insideV w:val="nil"/>
        </w:tcBorders>
        <w:shd w:val="clear" w:color="auto" w:fill="FFFFFF" w:themeFill="background1"/>
      </w:tcPr>
    </w:tblStylePr>
    <w:tblStylePr w:type="lastCol">
      <w:tblPr/>
      <w:tcPr>
        <w:tcBorders>
          <w:top w:val="nil"/>
          <w:left w:val="single" w:sz="8" w:space="0" w:color="85858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0E0" w:themeFill="accent4" w:themeFillTint="3F"/>
      </w:tcPr>
    </w:tblStylePr>
    <w:tblStylePr w:type="band1Horz">
      <w:tblPr/>
      <w:tcPr>
        <w:tcBorders>
          <w:top w:val="nil"/>
          <w:bottom w:val="nil"/>
          <w:insideH w:val="nil"/>
          <w:insideV w:val="nil"/>
        </w:tcBorders>
        <w:shd w:val="clear" w:color="auto" w:fill="E0E0E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A1" w:themeColor="accent5"/>
        <w:left w:val="single" w:sz="8" w:space="0" w:color="0071A1" w:themeColor="accent5"/>
        <w:bottom w:val="single" w:sz="8" w:space="0" w:color="0071A1" w:themeColor="accent5"/>
        <w:right w:val="single" w:sz="8" w:space="0" w:color="0071A1" w:themeColor="accent5"/>
      </w:tblBorders>
    </w:tblPr>
    <w:tblStylePr w:type="firstRow">
      <w:rPr>
        <w:sz w:val="24"/>
        <w:szCs w:val="24"/>
      </w:rPr>
      <w:tblPr/>
      <w:tcPr>
        <w:tcBorders>
          <w:top w:val="nil"/>
          <w:left w:val="nil"/>
          <w:bottom w:val="single" w:sz="24" w:space="0" w:color="0071A1" w:themeColor="accent5"/>
          <w:right w:val="nil"/>
          <w:insideH w:val="nil"/>
          <w:insideV w:val="nil"/>
        </w:tcBorders>
        <w:shd w:val="clear" w:color="auto" w:fill="FFFFFF" w:themeFill="background1"/>
      </w:tcPr>
    </w:tblStylePr>
    <w:tblStylePr w:type="lastRow">
      <w:tblPr/>
      <w:tcPr>
        <w:tcBorders>
          <w:top w:val="single" w:sz="8" w:space="0" w:color="0071A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A1" w:themeColor="accent5"/>
          <w:insideH w:val="nil"/>
          <w:insideV w:val="nil"/>
        </w:tcBorders>
        <w:shd w:val="clear" w:color="auto" w:fill="FFFFFF" w:themeFill="background1"/>
      </w:tcPr>
    </w:tblStylePr>
    <w:tblStylePr w:type="lastCol">
      <w:tblPr/>
      <w:tcPr>
        <w:tcBorders>
          <w:top w:val="nil"/>
          <w:left w:val="single" w:sz="8" w:space="0" w:color="0071A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E4FF" w:themeFill="accent5" w:themeFillTint="3F"/>
      </w:tcPr>
    </w:tblStylePr>
    <w:tblStylePr w:type="band1Horz">
      <w:tblPr/>
      <w:tcPr>
        <w:tcBorders>
          <w:top w:val="nil"/>
          <w:bottom w:val="nil"/>
          <w:insideH w:val="nil"/>
          <w:insideV w:val="nil"/>
        </w:tcBorders>
        <w:shd w:val="clear" w:color="auto" w:fill="A8E4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4361" w:themeColor="accent6"/>
        <w:left w:val="single" w:sz="8" w:space="0" w:color="144361" w:themeColor="accent6"/>
        <w:bottom w:val="single" w:sz="8" w:space="0" w:color="144361" w:themeColor="accent6"/>
        <w:right w:val="single" w:sz="8" w:space="0" w:color="144361" w:themeColor="accent6"/>
      </w:tblBorders>
    </w:tblPr>
    <w:tblStylePr w:type="firstRow">
      <w:rPr>
        <w:sz w:val="24"/>
        <w:szCs w:val="24"/>
      </w:rPr>
      <w:tblPr/>
      <w:tcPr>
        <w:tcBorders>
          <w:top w:val="nil"/>
          <w:left w:val="nil"/>
          <w:bottom w:val="single" w:sz="24" w:space="0" w:color="144361" w:themeColor="accent6"/>
          <w:right w:val="nil"/>
          <w:insideH w:val="nil"/>
          <w:insideV w:val="nil"/>
        </w:tcBorders>
        <w:shd w:val="clear" w:color="auto" w:fill="FFFFFF" w:themeFill="background1"/>
      </w:tcPr>
    </w:tblStylePr>
    <w:tblStylePr w:type="lastRow">
      <w:tblPr/>
      <w:tcPr>
        <w:tcBorders>
          <w:top w:val="single" w:sz="8" w:space="0" w:color="14436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4361" w:themeColor="accent6"/>
          <w:insideH w:val="nil"/>
          <w:insideV w:val="nil"/>
        </w:tcBorders>
        <w:shd w:val="clear" w:color="auto" w:fill="FFFFFF" w:themeFill="background1"/>
      </w:tcPr>
    </w:tblStylePr>
    <w:tblStylePr w:type="lastCol">
      <w:tblPr/>
      <w:tcPr>
        <w:tcBorders>
          <w:top w:val="nil"/>
          <w:left w:val="single" w:sz="8" w:space="0" w:color="14436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5EE" w:themeFill="accent6" w:themeFillTint="3F"/>
      </w:tcPr>
    </w:tblStylePr>
    <w:tblStylePr w:type="band1Horz">
      <w:tblPr/>
      <w:tcPr>
        <w:tcBorders>
          <w:top w:val="nil"/>
          <w:bottom w:val="nil"/>
          <w:insideH w:val="nil"/>
          <w:insideV w:val="nil"/>
        </w:tcBorders>
        <w:shd w:val="clear" w:color="auto" w:fill="AED5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727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72739"/>
    <w:pPr>
      <w:spacing w:after="0" w:line="240" w:lineRule="auto"/>
    </w:pPr>
    <w:tblPr>
      <w:tblStyleRowBandSize w:val="1"/>
      <w:tblStyleColBandSize w:val="1"/>
      <w:tblBorders>
        <w:top w:val="single" w:sz="8" w:space="0" w:color="257AB2" w:themeColor="accent1" w:themeTint="BF"/>
        <w:left w:val="single" w:sz="8" w:space="0" w:color="257AB2" w:themeColor="accent1" w:themeTint="BF"/>
        <w:bottom w:val="single" w:sz="8" w:space="0" w:color="257AB2" w:themeColor="accent1" w:themeTint="BF"/>
        <w:right w:val="single" w:sz="8" w:space="0" w:color="257AB2" w:themeColor="accent1" w:themeTint="BF"/>
        <w:insideH w:val="single" w:sz="8" w:space="0" w:color="257AB2" w:themeColor="accent1" w:themeTint="BF"/>
      </w:tblBorders>
    </w:tblPr>
    <w:tblStylePr w:type="firstRow">
      <w:pPr>
        <w:spacing w:before="0" w:after="0" w:line="240" w:lineRule="auto"/>
      </w:pPr>
      <w:rPr>
        <w:b/>
        <w:bCs/>
        <w:color w:val="FFFFFF" w:themeColor="background1"/>
      </w:rPr>
      <w:tblPr/>
      <w:tcPr>
        <w:tcBorders>
          <w:top w:val="single" w:sz="8" w:space="0" w:color="257AB2" w:themeColor="accent1" w:themeTint="BF"/>
          <w:left w:val="single" w:sz="8" w:space="0" w:color="257AB2" w:themeColor="accent1" w:themeTint="BF"/>
          <w:bottom w:val="single" w:sz="8" w:space="0" w:color="257AB2" w:themeColor="accent1" w:themeTint="BF"/>
          <w:right w:val="single" w:sz="8" w:space="0" w:color="257AB2" w:themeColor="accent1" w:themeTint="BF"/>
          <w:insideH w:val="nil"/>
          <w:insideV w:val="nil"/>
        </w:tcBorders>
        <w:shd w:val="clear" w:color="auto" w:fill="144361" w:themeFill="accent1"/>
      </w:tcPr>
    </w:tblStylePr>
    <w:tblStylePr w:type="lastRow">
      <w:pPr>
        <w:spacing w:before="0" w:after="0" w:line="240" w:lineRule="auto"/>
      </w:pPr>
      <w:rPr>
        <w:b/>
        <w:bCs/>
      </w:rPr>
      <w:tblPr/>
      <w:tcPr>
        <w:tcBorders>
          <w:top w:val="double" w:sz="6" w:space="0" w:color="257AB2" w:themeColor="accent1" w:themeTint="BF"/>
          <w:left w:val="single" w:sz="8" w:space="0" w:color="257AB2" w:themeColor="accent1" w:themeTint="BF"/>
          <w:bottom w:val="single" w:sz="8" w:space="0" w:color="257AB2" w:themeColor="accent1" w:themeTint="BF"/>
          <w:right w:val="single" w:sz="8" w:space="0" w:color="257AB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D5EE" w:themeFill="accent1" w:themeFillTint="3F"/>
      </w:tcPr>
    </w:tblStylePr>
    <w:tblStylePr w:type="band1Horz">
      <w:tblPr/>
      <w:tcPr>
        <w:tcBorders>
          <w:insideH w:val="nil"/>
          <w:insideV w:val="nil"/>
        </w:tcBorders>
        <w:shd w:val="clear" w:color="auto" w:fill="AED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72739"/>
    <w:pPr>
      <w:spacing w:after="0" w:line="240" w:lineRule="auto"/>
    </w:pPr>
    <w:tblPr>
      <w:tblStyleRowBandSize w:val="1"/>
      <w:tblStyleColBandSize w:val="1"/>
      <w:tblBorders>
        <w:top w:val="single" w:sz="8" w:space="0" w:color="71AAD1" w:themeColor="accent2" w:themeTint="BF"/>
        <w:left w:val="single" w:sz="8" w:space="0" w:color="71AAD1" w:themeColor="accent2" w:themeTint="BF"/>
        <w:bottom w:val="single" w:sz="8" w:space="0" w:color="71AAD1" w:themeColor="accent2" w:themeTint="BF"/>
        <w:right w:val="single" w:sz="8" w:space="0" w:color="71AAD1" w:themeColor="accent2" w:themeTint="BF"/>
        <w:insideH w:val="single" w:sz="8" w:space="0" w:color="71AAD1" w:themeColor="accent2" w:themeTint="BF"/>
      </w:tblBorders>
    </w:tblPr>
    <w:tblStylePr w:type="firstRow">
      <w:pPr>
        <w:spacing w:before="0" w:after="0" w:line="240" w:lineRule="auto"/>
      </w:pPr>
      <w:rPr>
        <w:b/>
        <w:bCs/>
        <w:color w:val="FFFFFF" w:themeColor="background1"/>
      </w:rPr>
      <w:tblPr/>
      <w:tcPr>
        <w:tcBorders>
          <w:top w:val="single" w:sz="8" w:space="0" w:color="71AAD1" w:themeColor="accent2" w:themeTint="BF"/>
          <w:left w:val="single" w:sz="8" w:space="0" w:color="71AAD1" w:themeColor="accent2" w:themeTint="BF"/>
          <w:bottom w:val="single" w:sz="8" w:space="0" w:color="71AAD1" w:themeColor="accent2" w:themeTint="BF"/>
          <w:right w:val="single" w:sz="8" w:space="0" w:color="71AAD1" w:themeColor="accent2" w:themeTint="BF"/>
          <w:insideH w:val="nil"/>
          <w:insideV w:val="nil"/>
        </w:tcBorders>
        <w:shd w:val="clear" w:color="auto" w:fill="428FC2" w:themeFill="accent2"/>
      </w:tcPr>
    </w:tblStylePr>
    <w:tblStylePr w:type="lastRow">
      <w:pPr>
        <w:spacing w:before="0" w:after="0" w:line="240" w:lineRule="auto"/>
      </w:pPr>
      <w:rPr>
        <w:b/>
        <w:bCs/>
      </w:rPr>
      <w:tblPr/>
      <w:tcPr>
        <w:tcBorders>
          <w:top w:val="double" w:sz="6" w:space="0" w:color="71AAD1" w:themeColor="accent2" w:themeTint="BF"/>
          <w:left w:val="single" w:sz="8" w:space="0" w:color="71AAD1" w:themeColor="accent2" w:themeTint="BF"/>
          <w:bottom w:val="single" w:sz="8" w:space="0" w:color="71AAD1" w:themeColor="accent2" w:themeTint="BF"/>
          <w:right w:val="single" w:sz="8" w:space="0" w:color="71AAD1" w:themeColor="accent2" w:themeTint="BF"/>
          <w:insideH w:val="nil"/>
          <w:insideV w:val="nil"/>
        </w:tcBorders>
      </w:tcPr>
    </w:tblStylePr>
    <w:tblStylePr w:type="firstCol">
      <w:rPr>
        <w:b/>
        <w:bCs/>
      </w:rPr>
    </w:tblStylePr>
    <w:tblStylePr w:type="lastCol">
      <w:rPr>
        <w:b/>
        <w:bCs/>
      </w:rPr>
    </w:tblStylePr>
    <w:tblStylePr w:type="band1Vert">
      <w:tblPr/>
      <w:tcPr>
        <w:shd w:val="clear" w:color="auto" w:fill="D0E3F0" w:themeFill="accent2" w:themeFillTint="3F"/>
      </w:tcPr>
    </w:tblStylePr>
    <w:tblStylePr w:type="band1Horz">
      <w:tblPr/>
      <w:tcPr>
        <w:tcBorders>
          <w:insideH w:val="nil"/>
          <w:insideV w:val="nil"/>
        </w:tcBorders>
        <w:shd w:val="clear" w:color="auto" w:fill="D0E3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72739"/>
    <w:pPr>
      <w:spacing w:after="0" w:line="240" w:lineRule="auto"/>
    </w:pPr>
    <w:tblPr>
      <w:tblStyleRowBandSize w:val="1"/>
      <w:tblStyleColBandSize w:val="1"/>
      <w:tblBorders>
        <w:top w:val="single" w:sz="8" w:space="0" w:color="6E6C6C" w:themeColor="accent3" w:themeTint="BF"/>
        <w:left w:val="single" w:sz="8" w:space="0" w:color="6E6C6C" w:themeColor="accent3" w:themeTint="BF"/>
        <w:bottom w:val="single" w:sz="8" w:space="0" w:color="6E6C6C" w:themeColor="accent3" w:themeTint="BF"/>
        <w:right w:val="single" w:sz="8" w:space="0" w:color="6E6C6C" w:themeColor="accent3" w:themeTint="BF"/>
        <w:insideH w:val="single" w:sz="8" w:space="0" w:color="6E6C6C" w:themeColor="accent3" w:themeTint="BF"/>
      </w:tblBorders>
    </w:tblPr>
    <w:tblStylePr w:type="firstRow">
      <w:pPr>
        <w:spacing w:before="0" w:after="0" w:line="240" w:lineRule="auto"/>
      </w:pPr>
      <w:rPr>
        <w:b/>
        <w:bCs/>
        <w:color w:val="FFFFFF" w:themeColor="background1"/>
      </w:rPr>
      <w:tblPr/>
      <w:tcPr>
        <w:tcBorders>
          <w:top w:val="single" w:sz="8" w:space="0" w:color="6E6C6C" w:themeColor="accent3" w:themeTint="BF"/>
          <w:left w:val="single" w:sz="8" w:space="0" w:color="6E6C6C" w:themeColor="accent3" w:themeTint="BF"/>
          <w:bottom w:val="single" w:sz="8" w:space="0" w:color="6E6C6C" w:themeColor="accent3" w:themeTint="BF"/>
          <w:right w:val="single" w:sz="8" w:space="0" w:color="6E6C6C" w:themeColor="accent3" w:themeTint="BF"/>
          <w:insideH w:val="nil"/>
          <w:insideV w:val="nil"/>
        </w:tcBorders>
        <w:shd w:val="clear" w:color="auto" w:fill="3D3C3C" w:themeFill="accent3"/>
      </w:tcPr>
    </w:tblStylePr>
    <w:tblStylePr w:type="lastRow">
      <w:pPr>
        <w:spacing w:before="0" w:after="0" w:line="240" w:lineRule="auto"/>
      </w:pPr>
      <w:rPr>
        <w:b/>
        <w:bCs/>
      </w:rPr>
      <w:tblPr/>
      <w:tcPr>
        <w:tcBorders>
          <w:top w:val="double" w:sz="6" w:space="0" w:color="6E6C6C" w:themeColor="accent3" w:themeTint="BF"/>
          <w:left w:val="single" w:sz="8" w:space="0" w:color="6E6C6C" w:themeColor="accent3" w:themeTint="BF"/>
          <w:bottom w:val="single" w:sz="8" w:space="0" w:color="6E6C6C" w:themeColor="accent3" w:themeTint="BF"/>
          <w:right w:val="single" w:sz="8" w:space="0" w:color="6E6C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CECE" w:themeFill="accent3" w:themeFillTint="3F"/>
      </w:tcPr>
    </w:tblStylePr>
    <w:tblStylePr w:type="band1Horz">
      <w:tblPr/>
      <w:tcPr>
        <w:tcBorders>
          <w:insideH w:val="nil"/>
          <w:insideV w:val="nil"/>
        </w:tcBorders>
        <w:shd w:val="clear" w:color="auto" w:fill="CFCEC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72739"/>
    <w:pPr>
      <w:spacing w:after="0" w:line="240" w:lineRule="auto"/>
    </w:pPr>
    <w:tblPr>
      <w:tblStyleRowBandSize w:val="1"/>
      <w:tblStyleColBandSize w:val="1"/>
      <w:tblBorders>
        <w:top w:val="single" w:sz="8" w:space="0" w:color="A3A3A3" w:themeColor="accent4" w:themeTint="BF"/>
        <w:left w:val="single" w:sz="8" w:space="0" w:color="A3A3A3" w:themeColor="accent4" w:themeTint="BF"/>
        <w:bottom w:val="single" w:sz="8" w:space="0" w:color="A3A3A3" w:themeColor="accent4" w:themeTint="BF"/>
        <w:right w:val="single" w:sz="8" w:space="0" w:color="A3A3A3" w:themeColor="accent4" w:themeTint="BF"/>
        <w:insideH w:val="single" w:sz="8" w:space="0" w:color="A3A3A3" w:themeColor="accent4" w:themeTint="BF"/>
      </w:tblBorders>
    </w:tblPr>
    <w:tblStylePr w:type="firstRow">
      <w:pPr>
        <w:spacing w:before="0" w:after="0" w:line="240" w:lineRule="auto"/>
      </w:pPr>
      <w:rPr>
        <w:b/>
        <w:bCs/>
        <w:color w:val="FFFFFF" w:themeColor="background1"/>
      </w:rPr>
      <w:tblPr/>
      <w:tcPr>
        <w:tcBorders>
          <w:top w:val="single" w:sz="8" w:space="0" w:color="A3A3A3" w:themeColor="accent4" w:themeTint="BF"/>
          <w:left w:val="single" w:sz="8" w:space="0" w:color="A3A3A3" w:themeColor="accent4" w:themeTint="BF"/>
          <w:bottom w:val="single" w:sz="8" w:space="0" w:color="A3A3A3" w:themeColor="accent4" w:themeTint="BF"/>
          <w:right w:val="single" w:sz="8" w:space="0" w:color="A3A3A3" w:themeColor="accent4" w:themeTint="BF"/>
          <w:insideH w:val="nil"/>
          <w:insideV w:val="nil"/>
        </w:tcBorders>
        <w:shd w:val="clear" w:color="auto" w:fill="858585" w:themeFill="accent4"/>
      </w:tcPr>
    </w:tblStylePr>
    <w:tblStylePr w:type="lastRow">
      <w:pPr>
        <w:spacing w:before="0" w:after="0" w:line="240" w:lineRule="auto"/>
      </w:pPr>
      <w:rPr>
        <w:b/>
        <w:bCs/>
      </w:rPr>
      <w:tblPr/>
      <w:tcPr>
        <w:tcBorders>
          <w:top w:val="double" w:sz="6" w:space="0" w:color="A3A3A3" w:themeColor="accent4" w:themeTint="BF"/>
          <w:left w:val="single" w:sz="8" w:space="0" w:color="A3A3A3" w:themeColor="accent4" w:themeTint="BF"/>
          <w:bottom w:val="single" w:sz="8" w:space="0" w:color="A3A3A3" w:themeColor="accent4" w:themeTint="BF"/>
          <w:right w:val="single" w:sz="8" w:space="0" w:color="A3A3A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0E0E0" w:themeFill="accent4" w:themeFillTint="3F"/>
      </w:tcPr>
    </w:tblStylePr>
    <w:tblStylePr w:type="band1Horz">
      <w:tblPr/>
      <w:tcPr>
        <w:tcBorders>
          <w:insideH w:val="nil"/>
          <w:insideV w:val="nil"/>
        </w:tcBorders>
        <w:shd w:val="clear" w:color="auto" w:fill="E0E0E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72739"/>
    <w:pPr>
      <w:spacing w:after="0" w:line="240" w:lineRule="auto"/>
    </w:pPr>
    <w:tblPr>
      <w:tblStyleRowBandSize w:val="1"/>
      <w:tblStyleColBandSize w:val="1"/>
      <w:tblBorders>
        <w:top w:val="single" w:sz="8" w:space="0" w:color="00ADF8" w:themeColor="accent5" w:themeTint="BF"/>
        <w:left w:val="single" w:sz="8" w:space="0" w:color="00ADF8" w:themeColor="accent5" w:themeTint="BF"/>
        <w:bottom w:val="single" w:sz="8" w:space="0" w:color="00ADF8" w:themeColor="accent5" w:themeTint="BF"/>
        <w:right w:val="single" w:sz="8" w:space="0" w:color="00ADF8" w:themeColor="accent5" w:themeTint="BF"/>
        <w:insideH w:val="single" w:sz="8" w:space="0" w:color="00ADF8" w:themeColor="accent5" w:themeTint="BF"/>
      </w:tblBorders>
    </w:tblPr>
    <w:tblStylePr w:type="firstRow">
      <w:pPr>
        <w:spacing w:before="0" w:after="0" w:line="240" w:lineRule="auto"/>
      </w:pPr>
      <w:rPr>
        <w:b/>
        <w:bCs/>
        <w:color w:val="FFFFFF" w:themeColor="background1"/>
      </w:rPr>
      <w:tblPr/>
      <w:tcPr>
        <w:tcBorders>
          <w:top w:val="single" w:sz="8" w:space="0" w:color="00ADF8" w:themeColor="accent5" w:themeTint="BF"/>
          <w:left w:val="single" w:sz="8" w:space="0" w:color="00ADF8" w:themeColor="accent5" w:themeTint="BF"/>
          <w:bottom w:val="single" w:sz="8" w:space="0" w:color="00ADF8" w:themeColor="accent5" w:themeTint="BF"/>
          <w:right w:val="single" w:sz="8" w:space="0" w:color="00ADF8" w:themeColor="accent5" w:themeTint="BF"/>
          <w:insideH w:val="nil"/>
          <w:insideV w:val="nil"/>
        </w:tcBorders>
        <w:shd w:val="clear" w:color="auto" w:fill="0071A1" w:themeFill="accent5"/>
      </w:tcPr>
    </w:tblStylePr>
    <w:tblStylePr w:type="lastRow">
      <w:pPr>
        <w:spacing w:before="0" w:after="0" w:line="240" w:lineRule="auto"/>
      </w:pPr>
      <w:rPr>
        <w:b/>
        <w:bCs/>
      </w:rPr>
      <w:tblPr/>
      <w:tcPr>
        <w:tcBorders>
          <w:top w:val="double" w:sz="6" w:space="0" w:color="00ADF8" w:themeColor="accent5" w:themeTint="BF"/>
          <w:left w:val="single" w:sz="8" w:space="0" w:color="00ADF8" w:themeColor="accent5" w:themeTint="BF"/>
          <w:bottom w:val="single" w:sz="8" w:space="0" w:color="00ADF8" w:themeColor="accent5" w:themeTint="BF"/>
          <w:right w:val="single" w:sz="8" w:space="0" w:color="00ADF8"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E4FF" w:themeFill="accent5" w:themeFillTint="3F"/>
      </w:tcPr>
    </w:tblStylePr>
    <w:tblStylePr w:type="band1Horz">
      <w:tblPr/>
      <w:tcPr>
        <w:tcBorders>
          <w:insideH w:val="nil"/>
          <w:insideV w:val="nil"/>
        </w:tcBorders>
        <w:shd w:val="clear" w:color="auto" w:fill="A8E4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72739"/>
    <w:pPr>
      <w:spacing w:after="0" w:line="240" w:lineRule="auto"/>
    </w:pPr>
    <w:tblPr>
      <w:tblStyleRowBandSize w:val="1"/>
      <w:tblStyleColBandSize w:val="1"/>
      <w:tblBorders>
        <w:top w:val="single" w:sz="8" w:space="0" w:color="257AB2" w:themeColor="accent6" w:themeTint="BF"/>
        <w:left w:val="single" w:sz="8" w:space="0" w:color="257AB2" w:themeColor="accent6" w:themeTint="BF"/>
        <w:bottom w:val="single" w:sz="8" w:space="0" w:color="257AB2" w:themeColor="accent6" w:themeTint="BF"/>
        <w:right w:val="single" w:sz="8" w:space="0" w:color="257AB2" w:themeColor="accent6" w:themeTint="BF"/>
        <w:insideH w:val="single" w:sz="8" w:space="0" w:color="257AB2" w:themeColor="accent6" w:themeTint="BF"/>
      </w:tblBorders>
    </w:tblPr>
    <w:tblStylePr w:type="firstRow">
      <w:pPr>
        <w:spacing w:before="0" w:after="0" w:line="240" w:lineRule="auto"/>
      </w:pPr>
      <w:rPr>
        <w:b/>
        <w:bCs/>
        <w:color w:val="FFFFFF" w:themeColor="background1"/>
      </w:rPr>
      <w:tblPr/>
      <w:tcPr>
        <w:tcBorders>
          <w:top w:val="single" w:sz="8" w:space="0" w:color="257AB2" w:themeColor="accent6" w:themeTint="BF"/>
          <w:left w:val="single" w:sz="8" w:space="0" w:color="257AB2" w:themeColor="accent6" w:themeTint="BF"/>
          <w:bottom w:val="single" w:sz="8" w:space="0" w:color="257AB2" w:themeColor="accent6" w:themeTint="BF"/>
          <w:right w:val="single" w:sz="8" w:space="0" w:color="257AB2" w:themeColor="accent6" w:themeTint="BF"/>
          <w:insideH w:val="nil"/>
          <w:insideV w:val="nil"/>
        </w:tcBorders>
        <w:shd w:val="clear" w:color="auto" w:fill="144361" w:themeFill="accent6"/>
      </w:tcPr>
    </w:tblStylePr>
    <w:tblStylePr w:type="lastRow">
      <w:pPr>
        <w:spacing w:before="0" w:after="0" w:line="240" w:lineRule="auto"/>
      </w:pPr>
      <w:rPr>
        <w:b/>
        <w:bCs/>
      </w:rPr>
      <w:tblPr/>
      <w:tcPr>
        <w:tcBorders>
          <w:top w:val="double" w:sz="6" w:space="0" w:color="257AB2" w:themeColor="accent6" w:themeTint="BF"/>
          <w:left w:val="single" w:sz="8" w:space="0" w:color="257AB2" w:themeColor="accent6" w:themeTint="BF"/>
          <w:bottom w:val="single" w:sz="8" w:space="0" w:color="257AB2" w:themeColor="accent6" w:themeTint="BF"/>
          <w:right w:val="single" w:sz="8" w:space="0" w:color="257AB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D5EE" w:themeFill="accent6" w:themeFillTint="3F"/>
      </w:tcPr>
    </w:tblStylePr>
    <w:tblStylePr w:type="band1Horz">
      <w:tblPr/>
      <w:tcPr>
        <w:tcBorders>
          <w:insideH w:val="nil"/>
          <w:insideV w:val="nil"/>
        </w:tcBorders>
        <w:shd w:val="clear" w:color="auto" w:fill="AED5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436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4361" w:themeFill="accent1"/>
      </w:tcPr>
    </w:tblStylePr>
    <w:tblStylePr w:type="lastCol">
      <w:rPr>
        <w:b/>
        <w:bCs/>
        <w:color w:val="FFFFFF" w:themeColor="background1"/>
      </w:rPr>
      <w:tblPr/>
      <w:tcPr>
        <w:tcBorders>
          <w:left w:val="nil"/>
          <w:right w:val="nil"/>
          <w:insideH w:val="nil"/>
          <w:insideV w:val="nil"/>
        </w:tcBorders>
        <w:shd w:val="clear" w:color="auto" w:fill="14436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8FC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8FC2" w:themeFill="accent2"/>
      </w:tcPr>
    </w:tblStylePr>
    <w:tblStylePr w:type="lastCol">
      <w:rPr>
        <w:b/>
        <w:bCs/>
        <w:color w:val="FFFFFF" w:themeColor="background1"/>
      </w:rPr>
      <w:tblPr/>
      <w:tcPr>
        <w:tcBorders>
          <w:left w:val="nil"/>
          <w:right w:val="nil"/>
          <w:insideH w:val="nil"/>
          <w:insideV w:val="nil"/>
        </w:tcBorders>
        <w:shd w:val="clear" w:color="auto" w:fill="428FC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3C3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D3C3C" w:themeFill="accent3"/>
      </w:tcPr>
    </w:tblStylePr>
    <w:tblStylePr w:type="lastCol">
      <w:rPr>
        <w:b/>
        <w:bCs/>
        <w:color w:val="FFFFFF" w:themeColor="background1"/>
      </w:rPr>
      <w:tblPr/>
      <w:tcPr>
        <w:tcBorders>
          <w:left w:val="nil"/>
          <w:right w:val="nil"/>
          <w:insideH w:val="nil"/>
          <w:insideV w:val="nil"/>
        </w:tcBorders>
        <w:shd w:val="clear" w:color="auto" w:fill="3D3C3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858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8585" w:themeFill="accent4"/>
      </w:tcPr>
    </w:tblStylePr>
    <w:tblStylePr w:type="lastCol">
      <w:rPr>
        <w:b/>
        <w:bCs/>
        <w:color w:val="FFFFFF" w:themeColor="background1"/>
      </w:rPr>
      <w:tblPr/>
      <w:tcPr>
        <w:tcBorders>
          <w:left w:val="nil"/>
          <w:right w:val="nil"/>
          <w:insideH w:val="nil"/>
          <w:insideV w:val="nil"/>
        </w:tcBorders>
        <w:shd w:val="clear" w:color="auto" w:fill="85858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A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A1" w:themeFill="accent5"/>
      </w:tcPr>
    </w:tblStylePr>
    <w:tblStylePr w:type="lastCol">
      <w:rPr>
        <w:b/>
        <w:bCs/>
        <w:color w:val="FFFFFF" w:themeColor="background1"/>
      </w:rPr>
      <w:tblPr/>
      <w:tcPr>
        <w:tcBorders>
          <w:left w:val="nil"/>
          <w:right w:val="nil"/>
          <w:insideH w:val="nil"/>
          <w:insideV w:val="nil"/>
        </w:tcBorders>
        <w:shd w:val="clear" w:color="auto" w:fill="0071A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7273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436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44361" w:themeFill="accent6"/>
      </w:tcPr>
    </w:tblStylePr>
    <w:tblStylePr w:type="lastCol">
      <w:rPr>
        <w:b/>
        <w:bCs/>
        <w:color w:val="FFFFFF" w:themeColor="background1"/>
      </w:rPr>
      <w:tblPr/>
      <w:tcPr>
        <w:tcBorders>
          <w:left w:val="nil"/>
          <w:right w:val="nil"/>
          <w:insideH w:val="nil"/>
          <w:insideV w:val="nil"/>
        </w:tcBorders>
        <w:shd w:val="clear" w:color="auto" w:fill="14436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rsid w:val="00F7273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72739"/>
    <w:pPr>
      <w:spacing w:after="0" w:line="240" w:lineRule="auto"/>
    </w:pPr>
    <w:tblPr>
      <w:tblStyleRowBandSize w:val="1"/>
      <w:tblStyleColBandSize w:val="1"/>
      <w:tblBorders>
        <w:top w:val="single" w:sz="8" w:space="0" w:color="257AB2" w:themeColor="accent1" w:themeTint="BF"/>
        <w:left w:val="single" w:sz="8" w:space="0" w:color="257AB2" w:themeColor="accent1" w:themeTint="BF"/>
        <w:bottom w:val="single" w:sz="8" w:space="0" w:color="257AB2" w:themeColor="accent1" w:themeTint="BF"/>
        <w:right w:val="single" w:sz="8" w:space="0" w:color="257AB2" w:themeColor="accent1" w:themeTint="BF"/>
        <w:insideH w:val="single" w:sz="8" w:space="0" w:color="257AB2" w:themeColor="accent1" w:themeTint="BF"/>
        <w:insideV w:val="single" w:sz="8" w:space="0" w:color="257AB2" w:themeColor="accent1" w:themeTint="BF"/>
      </w:tblBorders>
    </w:tblPr>
    <w:tcPr>
      <w:shd w:val="clear" w:color="auto" w:fill="AED5EE" w:themeFill="accent1" w:themeFillTint="3F"/>
    </w:tcPr>
    <w:tblStylePr w:type="firstRow">
      <w:rPr>
        <w:b/>
        <w:bCs/>
      </w:rPr>
    </w:tblStylePr>
    <w:tblStylePr w:type="lastRow">
      <w:rPr>
        <w:b/>
        <w:bCs/>
      </w:rPr>
      <w:tblPr/>
      <w:tcPr>
        <w:tcBorders>
          <w:top w:val="single" w:sz="18" w:space="0" w:color="257AB2" w:themeColor="accent1" w:themeTint="BF"/>
        </w:tcBorders>
      </w:tcPr>
    </w:tblStylePr>
    <w:tblStylePr w:type="firstCol">
      <w:rPr>
        <w:b/>
        <w:bCs/>
      </w:rPr>
    </w:tblStylePr>
    <w:tblStylePr w:type="lastCol">
      <w:rPr>
        <w:b/>
        <w:bCs/>
      </w:rPr>
    </w:tblStylePr>
    <w:tblStylePr w:type="band1Vert">
      <w:tblPr/>
      <w:tcPr>
        <w:shd w:val="clear" w:color="auto" w:fill="5CAADD" w:themeFill="accent1" w:themeFillTint="7F"/>
      </w:tcPr>
    </w:tblStylePr>
    <w:tblStylePr w:type="band1Horz">
      <w:tblPr/>
      <w:tcPr>
        <w:shd w:val="clear" w:color="auto" w:fill="5CAADD" w:themeFill="accent1" w:themeFillTint="7F"/>
      </w:tcPr>
    </w:tblStylePr>
  </w:style>
  <w:style w:type="table" w:styleId="MediumGrid1-Accent2">
    <w:name w:val="Medium Grid 1 Accent 2"/>
    <w:basedOn w:val="TableNormal"/>
    <w:uiPriority w:val="67"/>
    <w:rsid w:val="00F72739"/>
    <w:pPr>
      <w:spacing w:after="0" w:line="240" w:lineRule="auto"/>
    </w:pPr>
    <w:tblPr>
      <w:tblStyleRowBandSize w:val="1"/>
      <w:tblStyleColBandSize w:val="1"/>
      <w:tblBorders>
        <w:top w:val="single" w:sz="8" w:space="0" w:color="71AAD1" w:themeColor="accent2" w:themeTint="BF"/>
        <w:left w:val="single" w:sz="8" w:space="0" w:color="71AAD1" w:themeColor="accent2" w:themeTint="BF"/>
        <w:bottom w:val="single" w:sz="8" w:space="0" w:color="71AAD1" w:themeColor="accent2" w:themeTint="BF"/>
        <w:right w:val="single" w:sz="8" w:space="0" w:color="71AAD1" w:themeColor="accent2" w:themeTint="BF"/>
        <w:insideH w:val="single" w:sz="8" w:space="0" w:color="71AAD1" w:themeColor="accent2" w:themeTint="BF"/>
        <w:insideV w:val="single" w:sz="8" w:space="0" w:color="71AAD1" w:themeColor="accent2" w:themeTint="BF"/>
      </w:tblBorders>
    </w:tblPr>
    <w:tcPr>
      <w:shd w:val="clear" w:color="auto" w:fill="D0E3F0" w:themeFill="accent2" w:themeFillTint="3F"/>
    </w:tcPr>
    <w:tblStylePr w:type="firstRow">
      <w:rPr>
        <w:b/>
        <w:bCs/>
      </w:rPr>
    </w:tblStylePr>
    <w:tblStylePr w:type="lastRow">
      <w:rPr>
        <w:b/>
        <w:bCs/>
      </w:rPr>
      <w:tblPr/>
      <w:tcPr>
        <w:tcBorders>
          <w:top w:val="single" w:sz="18" w:space="0" w:color="71AAD1" w:themeColor="accent2" w:themeTint="BF"/>
        </w:tcBorders>
      </w:tcPr>
    </w:tblStylePr>
    <w:tblStylePr w:type="firstCol">
      <w:rPr>
        <w:b/>
        <w:bCs/>
      </w:rPr>
    </w:tblStylePr>
    <w:tblStylePr w:type="lastCol">
      <w:rPr>
        <w:b/>
        <w:bCs/>
      </w:rPr>
    </w:tblStylePr>
    <w:tblStylePr w:type="band1Vert">
      <w:tblPr/>
      <w:tcPr>
        <w:shd w:val="clear" w:color="auto" w:fill="A0C7E0" w:themeFill="accent2" w:themeFillTint="7F"/>
      </w:tcPr>
    </w:tblStylePr>
    <w:tblStylePr w:type="band1Horz">
      <w:tblPr/>
      <w:tcPr>
        <w:shd w:val="clear" w:color="auto" w:fill="A0C7E0" w:themeFill="accent2" w:themeFillTint="7F"/>
      </w:tcPr>
    </w:tblStylePr>
  </w:style>
  <w:style w:type="table" w:styleId="MediumGrid1-Accent3">
    <w:name w:val="Medium Grid 1 Accent 3"/>
    <w:basedOn w:val="TableNormal"/>
    <w:uiPriority w:val="67"/>
    <w:rsid w:val="00F72739"/>
    <w:pPr>
      <w:spacing w:after="0" w:line="240" w:lineRule="auto"/>
    </w:pPr>
    <w:tblPr>
      <w:tblStyleRowBandSize w:val="1"/>
      <w:tblStyleColBandSize w:val="1"/>
      <w:tblBorders>
        <w:top w:val="single" w:sz="8" w:space="0" w:color="6E6C6C" w:themeColor="accent3" w:themeTint="BF"/>
        <w:left w:val="single" w:sz="8" w:space="0" w:color="6E6C6C" w:themeColor="accent3" w:themeTint="BF"/>
        <w:bottom w:val="single" w:sz="8" w:space="0" w:color="6E6C6C" w:themeColor="accent3" w:themeTint="BF"/>
        <w:right w:val="single" w:sz="8" w:space="0" w:color="6E6C6C" w:themeColor="accent3" w:themeTint="BF"/>
        <w:insideH w:val="single" w:sz="8" w:space="0" w:color="6E6C6C" w:themeColor="accent3" w:themeTint="BF"/>
        <w:insideV w:val="single" w:sz="8" w:space="0" w:color="6E6C6C" w:themeColor="accent3" w:themeTint="BF"/>
      </w:tblBorders>
    </w:tblPr>
    <w:tcPr>
      <w:shd w:val="clear" w:color="auto" w:fill="CFCECE" w:themeFill="accent3" w:themeFillTint="3F"/>
    </w:tcPr>
    <w:tblStylePr w:type="firstRow">
      <w:rPr>
        <w:b/>
        <w:bCs/>
      </w:rPr>
    </w:tblStylePr>
    <w:tblStylePr w:type="lastRow">
      <w:rPr>
        <w:b/>
        <w:bCs/>
      </w:rPr>
      <w:tblPr/>
      <w:tcPr>
        <w:tcBorders>
          <w:top w:val="single" w:sz="18" w:space="0" w:color="6E6C6C" w:themeColor="accent3" w:themeTint="BF"/>
        </w:tcBorders>
      </w:tcPr>
    </w:tblStylePr>
    <w:tblStylePr w:type="firstCol">
      <w:rPr>
        <w:b/>
        <w:bCs/>
      </w:rPr>
    </w:tblStylePr>
    <w:tblStylePr w:type="lastCol">
      <w:rPr>
        <w:b/>
        <w:bCs/>
      </w:rPr>
    </w:tblStylePr>
    <w:tblStylePr w:type="band1Vert">
      <w:tblPr/>
      <w:tcPr>
        <w:shd w:val="clear" w:color="auto" w:fill="9E9D9D" w:themeFill="accent3" w:themeFillTint="7F"/>
      </w:tcPr>
    </w:tblStylePr>
    <w:tblStylePr w:type="band1Horz">
      <w:tblPr/>
      <w:tcPr>
        <w:shd w:val="clear" w:color="auto" w:fill="9E9D9D" w:themeFill="accent3" w:themeFillTint="7F"/>
      </w:tcPr>
    </w:tblStylePr>
  </w:style>
  <w:style w:type="table" w:styleId="MediumGrid1-Accent4">
    <w:name w:val="Medium Grid 1 Accent 4"/>
    <w:basedOn w:val="TableNormal"/>
    <w:uiPriority w:val="67"/>
    <w:rsid w:val="00F72739"/>
    <w:pPr>
      <w:spacing w:after="0" w:line="240" w:lineRule="auto"/>
    </w:pPr>
    <w:tblPr>
      <w:tblStyleRowBandSize w:val="1"/>
      <w:tblStyleColBandSize w:val="1"/>
      <w:tblBorders>
        <w:top w:val="single" w:sz="8" w:space="0" w:color="A3A3A3" w:themeColor="accent4" w:themeTint="BF"/>
        <w:left w:val="single" w:sz="8" w:space="0" w:color="A3A3A3" w:themeColor="accent4" w:themeTint="BF"/>
        <w:bottom w:val="single" w:sz="8" w:space="0" w:color="A3A3A3" w:themeColor="accent4" w:themeTint="BF"/>
        <w:right w:val="single" w:sz="8" w:space="0" w:color="A3A3A3" w:themeColor="accent4" w:themeTint="BF"/>
        <w:insideH w:val="single" w:sz="8" w:space="0" w:color="A3A3A3" w:themeColor="accent4" w:themeTint="BF"/>
        <w:insideV w:val="single" w:sz="8" w:space="0" w:color="A3A3A3" w:themeColor="accent4" w:themeTint="BF"/>
      </w:tblBorders>
    </w:tblPr>
    <w:tcPr>
      <w:shd w:val="clear" w:color="auto" w:fill="E0E0E0" w:themeFill="accent4" w:themeFillTint="3F"/>
    </w:tcPr>
    <w:tblStylePr w:type="firstRow">
      <w:rPr>
        <w:b/>
        <w:bCs/>
      </w:rPr>
    </w:tblStylePr>
    <w:tblStylePr w:type="lastRow">
      <w:rPr>
        <w:b/>
        <w:bCs/>
      </w:rPr>
      <w:tblPr/>
      <w:tcPr>
        <w:tcBorders>
          <w:top w:val="single" w:sz="18" w:space="0" w:color="A3A3A3" w:themeColor="accent4" w:themeTint="BF"/>
        </w:tcBorders>
      </w:tcPr>
    </w:tblStylePr>
    <w:tblStylePr w:type="firstCol">
      <w:rPr>
        <w:b/>
        <w:bCs/>
      </w:rPr>
    </w:tblStylePr>
    <w:tblStylePr w:type="lastCol">
      <w:rPr>
        <w:b/>
        <w:bCs/>
      </w:rPr>
    </w:tblStylePr>
    <w:tblStylePr w:type="band1Vert">
      <w:tblPr/>
      <w:tcPr>
        <w:shd w:val="clear" w:color="auto" w:fill="C2C2C2" w:themeFill="accent4" w:themeFillTint="7F"/>
      </w:tcPr>
    </w:tblStylePr>
    <w:tblStylePr w:type="band1Horz">
      <w:tblPr/>
      <w:tcPr>
        <w:shd w:val="clear" w:color="auto" w:fill="C2C2C2" w:themeFill="accent4" w:themeFillTint="7F"/>
      </w:tcPr>
    </w:tblStylePr>
  </w:style>
  <w:style w:type="table" w:styleId="MediumGrid1-Accent5">
    <w:name w:val="Medium Grid 1 Accent 5"/>
    <w:basedOn w:val="TableNormal"/>
    <w:uiPriority w:val="67"/>
    <w:rsid w:val="00F72739"/>
    <w:pPr>
      <w:spacing w:after="0" w:line="240" w:lineRule="auto"/>
    </w:pPr>
    <w:tblPr>
      <w:tblStyleRowBandSize w:val="1"/>
      <w:tblStyleColBandSize w:val="1"/>
      <w:tblBorders>
        <w:top w:val="single" w:sz="8" w:space="0" w:color="00ADF8" w:themeColor="accent5" w:themeTint="BF"/>
        <w:left w:val="single" w:sz="8" w:space="0" w:color="00ADF8" w:themeColor="accent5" w:themeTint="BF"/>
        <w:bottom w:val="single" w:sz="8" w:space="0" w:color="00ADF8" w:themeColor="accent5" w:themeTint="BF"/>
        <w:right w:val="single" w:sz="8" w:space="0" w:color="00ADF8" w:themeColor="accent5" w:themeTint="BF"/>
        <w:insideH w:val="single" w:sz="8" w:space="0" w:color="00ADF8" w:themeColor="accent5" w:themeTint="BF"/>
        <w:insideV w:val="single" w:sz="8" w:space="0" w:color="00ADF8" w:themeColor="accent5" w:themeTint="BF"/>
      </w:tblBorders>
    </w:tblPr>
    <w:tcPr>
      <w:shd w:val="clear" w:color="auto" w:fill="A8E4FF" w:themeFill="accent5" w:themeFillTint="3F"/>
    </w:tcPr>
    <w:tblStylePr w:type="firstRow">
      <w:rPr>
        <w:b/>
        <w:bCs/>
      </w:rPr>
    </w:tblStylePr>
    <w:tblStylePr w:type="lastRow">
      <w:rPr>
        <w:b/>
        <w:bCs/>
      </w:rPr>
      <w:tblPr/>
      <w:tcPr>
        <w:tcBorders>
          <w:top w:val="single" w:sz="18" w:space="0" w:color="00ADF8" w:themeColor="accent5" w:themeTint="BF"/>
        </w:tcBorders>
      </w:tcPr>
    </w:tblStylePr>
    <w:tblStylePr w:type="firstCol">
      <w:rPr>
        <w:b/>
        <w:bCs/>
      </w:rPr>
    </w:tblStylePr>
    <w:tblStylePr w:type="lastCol">
      <w:rPr>
        <w:b/>
        <w:bCs/>
      </w:rPr>
    </w:tblStylePr>
    <w:tblStylePr w:type="band1Vert">
      <w:tblPr/>
      <w:tcPr>
        <w:shd w:val="clear" w:color="auto" w:fill="51CAFF" w:themeFill="accent5" w:themeFillTint="7F"/>
      </w:tcPr>
    </w:tblStylePr>
    <w:tblStylePr w:type="band1Horz">
      <w:tblPr/>
      <w:tcPr>
        <w:shd w:val="clear" w:color="auto" w:fill="51CAFF" w:themeFill="accent5" w:themeFillTint="7F"/>
      </w:tcPr>
    </w:tblStylePr>
  </w:style>
  <w:style w:type="table" w:styleId="MediumGrid1-Accent6">
    <w:name w:val="Medium Grid 1 Accent 6"/>
    <w:basedOn w:val="TableNormal"/>
    <w:uiPriority w:val="67"/>
    <w:rsid w:val="00F72739"/>
    <w:pPr>
      <w:spacing w:after="0" w:line="240" w:lineRule="auto"/>
    </w:pPr>
    <w:tblPr>
      <w:tblStyleRowBandSize w:val="1"/>
      <w:tblStyleColBandSize w:val="1"/>
      <w:tblBorders>
        <w:top w:val="single" w:sz="8" w:space="0" w:color="257AB2" w:themeColor="accent6" w:themeTint="BF"/>
        <w:left w:val="single" w:sz="8" w:space="0" w:color="257AB2" w:themeColor="accent6" w:themeTint="BF"/>
        <w:bottom w:val="single" w:sz="8" w:space="0" w:color="257AB2" w:themeColor="accent6" w:themeTint="BF"/>
        <w:right w:val="single" w:sz="8" w:space="0" w:color="257AB2" w:themeColor="accent6" w:themeTint="BF"/>
        <w:insideH w:val="single" w:sz="8" w:space="0" w:color="257AB2" w:themeColor="accent6" w:themeTint="BF"/>
        <w:insideV w:val="single" w:sz="8" w:space="0" w:color="257AB2" w:themeColor="accent6" w:themeTint="BF"/>
      </w:tblBorders>
    </w:tblPr>
    <w:tcPr>
      <w:shd w:val="clear" w:color="auto" w:fill="AED5EE" w:themeFill="accent6" w:themeFillTint="3F"/>
    </w:tcPr>
    <w:tblStylePr w:type="firstRow">
      <w:rPr>
        <w:b/>
        <w:bCs/>
      </w:rPr>
    </w:tblStylePr>
    <w:tblStylePr w:type="lastRow">
      <w:rPr>
        <w:b/>
        <w:bCs/>
      </w:rPr>
      <w:tblPr/>
      <w:tcPr>
        <w:tcBorders>
          <w:top w:val="single" w:sz="18" w:space="0" w:color="257AB2" w:themeColor="accent6" w:themeTint="BF"/>
        </w:tcBorders>
      </w:tcPr>
    </w:tblStylePr>
    <w:tblStylePr w:type="firstCol">
      <w:rPr>
        <w:b/>
        <w:bCs/>
      </w:rPr>
    </w:tblStylePr>
    <w:tblStylePr w:type="lastCol">
      <w:rPr>
        <w:b/>
        <w:bCs/>
      </w:rPr>
    </w:tblStylePr>
    <w:tblStylePr w:type="band1Vert">
      <w:tblPr/>
      <w:tcPr>
        <w:shd w:val="clear" w:color="auto" w:fill="5CAADD" w:themeFill="accent6" w:themeFillTint="7F"/>
      </w:tcPr>
    </w:tblStylePr>
    <w:tblStylePr w:type="band1Horz">
      <w:tblPr/>
      <w:tcPr>
        <w:shd w:val="clear" w:color="auto" w:fill="5CAADD" w:themeFill="accent6" w:themeFillTint="7F"/>
      </w:tcPr>
    </w:tblStylePr>
  </w:style>
  <w:style w:type="table" w:styleId="MediumGrid2">
    <w:name w:val="Medium Grid 2"/>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4361" w:themeColor="accent1"/>
        <w:left w:val="single" w:sz="8" w:space="0" w:color="144361" w:themeColor="accent1"/>
        <w:bottom w:val="single" w:sz="8" w:space="0" w:color="144361" w:themeColor="accent1"/>
        <w:right w:val="single" w:sz="8" w:space="0" w:color="144361" w:themeColor="accent1"/>
        <w:insideH w:val="single" w:sz="8" w:space="0" w:color="144361" w:themeColor="accent1"/>
        <w:insideV w:val="single" w:sz="8" w:space="0" w:color="144361" w:themeColor="accent1"/>
      </w:tblBorders>
    </w:tblPr>
    <w:tcPr>
      <w:shd w:val="clear" w:color="auto" w:fill="AED5EE" w:themeFill="accent1" w:themeFillTint="3F"/>
    </w:tcPr>
    <w:tblStylePr w:type="firstRow">
      <w:rPr>
        <w:b/>
        <w:bCs/>
        <w:color w:val="000000" w:themeColor="text1"/>
      </w:rPr>
      <w:tblPr/>
      <w:tcPr>
        <w:shd w:val="clear" w:color="auto" w:fill="DEEE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DDF1" w:themeFill="accent1" w:themeFillTint="33"/>
      </w:tcPr>
    </w:tblStylePr>
    <w:tblStylePr w:type="band1Vert">
      <w:tblPr/>
      <w:tcPr>
        <w:shd w:val="clear" w:color="auto" w:fill="5CAADD" w:themeFill="accent1" w:themeFillTint="7F"/>
      </w:tcPr>
    </w:tblStylePr>
    <w:tblStylePr w:type="band1Horz">
      <w:tblPr/>
      <w:tcPr>
        <w:tcBorders>
          <w:insideH w:val="single" w:sz="6" w:space="0" w:color="144361" w:themeColor="accent1"/>
          <w:insideV w:val="single" w:sz="6" w:space="0" w:color="144361" w:themeColor="accent1"/>
        </w:tcBorders>
        <w:shd w:val="clear" w:color="auto" w:fill="5CAA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28FC2" w:themeColor="accent2"/>
        <w:left w:val="single" w:sz="8" w:space="0" w:color="428FC2" w:themeColor="accent2"/>
        <w:bottom w:val="single" w:sz="8" w:space="0" w:color="428FC2" w:themeColor="accent2"/>
        <w:right w:val="single" w:sz="8" w:space="0" w:color="428FC2" w:themeColor="accent2"/>
        <w:insideH w:val="single" w:sz="8" w:space="0" w:color="428FC2" w:themeColor="accent2"/>
        <w:insideV w:val="single" w:sz="8" w:space="0" w:color="428FC2" w:themeColor="accent2"/>
      </w:tblBorders>
    </w:tblPr>
    <w:tcPr>
      <w:shd w:val="clear" w:color="auto" w:fill="D0E3F0" w:themeFill="accent2" w:themeFillTint="3F"/>
    </w:tcPr>
    <w:tblStylePr w:type="firstRow">
      <w:rPr>
        <w:b/>
        <w:bCs/>
        <w:color w:val="000000" w:themeColor="text1"/>
      </w:rPr>
      <w:tblPr/>
      <w:tcPr>
        <w:shd w:val="clear" w:color="auto" w:fill="ECF3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8F2" w:themeFill="accent2" w:themeFillTint="33"/>
      </w:tcPr>
    </w:tblStylePr>
    <w:tblStylePr w:type="band1Vert">
      <w:tblPr/>
      <w:tcPr>
        <w:shd w:val="clear" w:color="auto" w:fill="A0C7E0" w:themeFill="accent2" w:themeFillTint="7F"/>
      </w:tcPr>
    </w:tblStylePr>
    <w:tblStylePr w:type="band1Horz">
      <w:tblPr/>
      <w:tcPr>
        <w:tcBorders>
          <w:insideH w:val="single" w:sz="6" w:space="0" w:color="428FC2" w:themeColor="accent2"/>
          <w:insideV w:val="single" w:sz="6" w:space="0" w:color="428FC2" w:themeColor="accent2"/>
        </w:tcBorders>
        <w:shd w:val="clear" w:color="auto" w:fill="A0C7E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D3C3C" w:themeColor="accent3"/>
        <w:left w:val="single" w:sz="8" w:space="0" w:color="3D3C3C" w:themeColor="accent3"/>
        <w:bottom w:val="single" w:sz="8" w:space="0" w:color="3D3C3C" w:themeColor="accent3"/>
        <w:right w:val="single" w:sz="8" w:space="0" w:color="3D3C3C" w:themeColor="accent3"/>
        <w:insideH w:val="single" w:sz="8" w:space="0" w:color="3D3C3C" w:themeColor="accent3"/>
        <w:insideV w:val="single" w:sz="8" w:space="0" w:color="3D3C3C" w:themeColor="accent3"/>
      </w:tblBorders>
    </w:tblPr>
    <w:tcPr>
      <w:shd w:val="clear" w:color="auto" w:fill="CFCECE" w:themeFill="accent3" w:themeFillTint="3F"/>
    </w:tcPr>
    <w:tblStylePr w:type="firstRow">
      <w:rPr>
        <w:b/>
        <w:bCs/>
        <w:color w:val="000000" w:themeColor="text1"/>
      </w:rPr>
      <w:tblPr/>
      <w:tcPr>
        <w:shd w:val="clear" w:color="auto" w:fill="ECEBE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7D7" w:themeFill="accent3" w:themeFillTint="33"/>
      </w:tcPr>
    </w:tblStylePr>
    <w:tblStylePr w:type="band1Vert">
      <w:tblPr/>
      <w:tcPr>
        <w:shd w:val="clear" w:color="auto" w:fill="9E9D9D" w:themeFill="accent3" w:themeFillTint="7F"/>
      </w:tcPr>
    </w:tblStylePr>
    <w:tblStylePr w:type="band1Horz">
      <w:tblPr/>
      <w:tcPr>
        <w:tcBorders>
          <w:insideH w:val="single" w:sz="6" w:space="0" w:color="3D3C3C" w:themeColor="accent3"/>
          <w:insideV w:val="single" w:sz="6" w:space="0" w:color="3D3C3C" w:themeColor="accent3"/>
        </w:tcBorders>
        <w:shd w:val="clear" w:color="auto" w:fill="9E9D9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8585" w:themeColor="accent4"/>
        <w:left w:val="single" w:sz="8" w:space="0" w:color="858585" w:themeColor="accent4"/>
        <w:bottom w:val="single" w:sz="8" w:space="0" w:color="858585" w:themeColor="accent4"/>
        <w:right w:val="single" w:sz="8" w:space="0" w:color="858585" w:themeColor="accent4"/>
        <w:insideH w:val="single" w:sz="8" w:space="0" w:color="858585" w:themeColor="accent4"/>
        <w:insideV w:val="single" w:sz="8" w:space="0" w:color="858585" w:themeColor="accent4"/>
      </w:tblBorders>
    </w:tblPr>
    <w:tcPr>
      <w:shd w:val="clear" w:color="auto" w:fill="E0E0E0" w:themeFill="accent4" w:themeFillTint="3F"/>
    </w:tcPr>
    <w:tblStylePr w:type="firstRow">
      <w:rPr>
        <w:b/>
        <w:bCs/>
        <w:color w:val="000000" w:themeColor="text1"/>
      </w:rPr>
      <w:tblPr/>
      <w:tcPr>
        <w:shd w:val="clear" w:color="auto" w:fill="F3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6E6" w:themeFill="accent4" w:themeFillTint="33"/>
      </w:tcPr>
    </w:tblStylePr>
    <w:tblStylePr w:type="band1Vert">
      <w:tblPr/>
      <w:tcPr>
        <w:shd w:val="clear" w:color="auto" w:fill="C2C2C2" w:themeFill="accent4" w:themeFillTint="7F"/>
      </w:tcPr>
    </w:tblStylePr>
    <w:tblStylePr w:type="band1Horz">
      <w:tblPr/>
      <w:tcPr>
        <w:tcBorders>
          <w:insideH w:val="single" w:sz="6" w:space="0" w:color="858585" w:themeColor="accent4"/>
          <w:insideV w:val="single" w:sz="6" w:space="0" w:color="858585" w:themeColor="accent4"/>
        </w:tcBorders>
        <w:shd w:val="clear" w:color="auto" w:fill="C2C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1A1" w:themeColor="accent5"/>
        <w:left w:val="single" w:sz="8" w:space="0" w:color="0071A1" w:themeColor="accent5"/>
        <w:bottom w:val="single" w:sz="8" w:space="0" w:color="0071A1" w:themeColor="accent5"/>
        <w:right w:val="single" w:sz="8" w:space="0" w:color="0071A1" w:themeColor="accent5"/>
        <w:insideH w:val="single" w:sz="8" w:space="0" w:color="0071A1" w:themeColor="accent5"/>
        <w:insideV w:val="single" w:sz="8" w:space="0" w:color="0071A1" w:themeColor="accent5"/>
      </w:tblBorders>
    </w:tblPr>
    <w:tcPr>
      <w:shd w:val="clear" w:color="auto" w:fill="A8E4FF" w:themeFill="accent5" w:themeFillTint="3F"/>
    </w:tcPr>
    <w:tblStylePr w:type="firstRow">
      <w:rPr>
        <w:b/>
        <w:bCs/>
        <w:color w:val="000000" w:themeColor="text1"/>
      </w:rPr>
      <w:tblPr/>
      <w:tcPr>
        <w:shd w:val="clear" w:color="auto" w:fill="DCF4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9FF" w:themeFill="accent5" w:themeFillTint="33"/>
      </w:tcPr>
    </w:tblStylePr>
    <w:tblStylePr w:type="band1Vert">
      <w:tblPr/>
      <w:tcPr>
        <w:shd w:val="clear" w:color="auto" w:fill="51CAFF" w:themeFill="accent5" w:themeFillTint="7F"/>
      </w:tcPr>
    </w:tblStylePr>
    <w:tblStylePr w:type="band1Horz">
      <w:tblPr/>
      <w:tcPr>
        <w:tcBorders>
          <w:insideH w:val="single" w:sz="6" w:space="0" w:color="0071A1" w:themeColor="accent5"/>
          <w:insideV w:val="single" w:sz="6" w:space="0" w:color="0071A1" w:themeColor="accent5"/>
        </w:tcBorders>
        <w:shd w:val="clear" w:color="auto" w:fill="51C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7273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44361" w:themeColor="accent6"/>
        <w:left w:val="single" w:sz="8" w:space="0" w:color="144361" w:themeColor="accent6"/>
        <w:bottom w:val="single" w:sz="8" w:space="0" w:color="144361" w:themeColor="accent6"/>
        <w:right w:val="single" w:sz="8" w:space="0" w:color="144361" w:themeColor="accent6"/>
        <w:insideH w:val="single" w:sz="8" w:space="0" w:color="144361" w:themeColor="accent6"/>
        <w:insideV w:val="single" w:sz="8" w:space="0" w:color="144361" w:themeColor="accent6"/>
      </w:tblBorders>
    </w:tblPr>
    <w:tcPr>
      <w:shd w:val="clear" w:color="auto" w:fill="AED5EE" w:themeFill="accent6" w:themeFillTint="3F"/>
    </w:tcPr>
    <w:tblStylePr w:type="firstRow">
      <w:rPr>
        <w:b/>
        <w:bCs/>
        <w:color w:val="000000" w:themeColor="text1"/>
      </w:rPr>
      <w:tblPr/>
      <w:tcPr>
        <w:shd w:val="clear" w:color="auto" w:fill="DEEE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DDF1" w:themeFill="accent6" w:themeFillTint="33"/>
      </w:tcPr>
    </w:tblStylePr>
    <w:tblStylePr w:type="band1Vert">
      <w:tblPr/>
      <w:tcPr>
        <w:shd w:val="clear" w:color="auto" w:fill="5CAADD" w:themeFill="accent6" w:themeFillTint="7F"/>
      </w:tcPr>
    </w:tblStylePr>
    <w:tblStylePr w:type="band1Horz">
      <w:tblPr/>
      <w:tcPr>
        <w:tcBorders>
          <w:insideH w:val="single" w:sz="6" w:space="0" w:color="144361" w:themeColor="accent6"/>
          <w:insideV w:val="single" w:sz="6" w:space="0" w:color="144361" w:themeColor="accent6"/>
        </w:tcBorders>
        <w:shd w:val="clear" w:color="auto" w:fill="5CAA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436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436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436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436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AA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AADD" w:themeFill="accent1" w:themeFillTint="7F"/>
      </w:tcPr>
    </w:tblStylePr>
  </w:style>
  <w:style w:type="table" w:styleId="MediumGrid3-Accent2">
    <w:name w:val="Medium Grid 3 Accent 2"/>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3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8FC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8FC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8FC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8FC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7E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7E0" w:themeFill="accent2" w:themeFillTint="7F"/>
      </w:tcPr>
    </w:tblStylePr>
  </w:style>
  <w:style w:type="table" w:styleId="MediumGrid3-Accent3">
    <w:name w:val="Medium Grid 3 Accent 3"/>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EC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3C3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3C3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3C3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3C3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9D9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9D9D" w:themeFill="accent3" w:themeFillTint="7F"/>
      </w:tcPr>
    </w:tblStylePr>
  </w:style>
  <w:style w:type="table" w:styleId="MediumGrid3-Accent4">
    <w:name w:val="Medium Grid 3 Accent 4"/>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0E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858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858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858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858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C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C2C2" w:themeFill="accent4" w:themeFillTint="7F"/>
      </w:tcPr>
    </w:tblStylePr>
  </w:style>
  <w:style w:type="table" w:styleId="MediumGrid3-Accent5">
    <w:name w:val="Medium Grid 3 Accent 5"/>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E4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A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A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A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A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C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CAFF" w:themeFill="accent5" w:themeFillTint="7F"/>
      </w:tcPr>
    </w:tblStylePr>
  </w:style>
  <w:style w:type="table" w:styleId="MediumGrid3-Accent6">
    <w:name w:val="Medium Grid 3 Accent 6"/>
    <w:basedOn w:val="TableNormal"/>
    <w:uiPriority w:val="69"/>
    <w:rsid w:val="00F7273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5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436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436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436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436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AA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AADD" w:themeFill="accent6" w:themeFillTint="7F"/>
      </w:tcPr>
    </w:tblStylePr>
  </w:style>
  <w:style w:type="table" w:styleId="TableContemporary">
    <w:name w:val="Table Contemporary"/>
    <w:basedOn w:val="TableNormal"/>
    <w:uiPriority w:val="99"/>
    <w:semiHidden/>
    <w:unhideWhenUsed/>
    <w:rsid w:val="00F7273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DarkList">
    <w:name w:val="Dark List"/>
    <w:basedOn w:val="TableNormal"/>
    <w:uiPriority w:val="70"/>
    <w:rsid w:val="00F7273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72739"/>
    <w:pPr>
      <w:spacing w:after="0" w:line="240" w:lineRule="auto"/>
    </w:pPr>
    <w:rPr>
      <w:color w:val="FFFFFF" w:themeColor="background1"/>
    </w:rPr>
    <w:tblPr>
      <w:tblStyleRowBandSize w:val="1"/>
      <w:tblStyleColBandSize w:val="1"/>
    </w:tblPr>
    <w:tcPr>
      <w:shd w:val="clear" w:color="auto" w:fill="14436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13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314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3148" w:themeFill="accent1" w:themeFillShade="BF"/>
      </w:tcPr>
    </w:tblStylePr>
    <w:tblStylePr w:type="band1Vert">
      <w:tblPr/>
      <w:tcPr>
        <w:tcBorders>
          <w:top w:val="nil"/>
          <w:left w:val="nil"/>
          <w:bottom w:val="nil"/>
          <w:right w:val="nil"/>
          <w:insideH w:val="nil"/>
          <w:insideV w:val="nil"/>
        </w:tcBorders>
        <w:shd w:val="clear" w:color="auto" w:fill="0F3148" w:themeFill="accent1" w:themeFillShade="BF"/>
      </w:tcPr>
    </w:tblStylePr>
    <w:tblStylePr w:type="band1Horz">
      <w:tblPr/>
      <w:tcPr>
        <w:tcBorders>
          <w:top w:val="nil"/>
          <w:left w:val="nil"/>
          <w:bottom w:val="nil"/>
          <w:right w:val="nil"/>
          <w:insideH w:val="nil"/>
          <w:insideV w:val="nil"/>
        </w:tcBorders>
        <w:shd w:val="clear" w:color="auto" w:fill="0F3148" w:themeFill="accent1" w:themeFillShade="BF"/>
      </w:tcPr>
    </w:tblStylePr>
  </w:style>
  <w:style w:type="table" w:styleId="DarkList-Accent2">
    <w:name w:val="Dark List Accent 2"/>
    <w:basedOn w:val="TableNormal"/>
    <w:uiPriority w:val="70"/>
    <w:rsid w:val="00F72739"/>
    <w:pPr>
      <w:spacing w:after="0" w:line="240" w:lineRule="auto"/>
    </w:pPr>
    <w:rPr>
      <w:color w:val="FFFFFF" w:themeColor="background1"/>
    </w:rPr>
    <w:tblPr>
      <w:tblStyleRowBandSize w:val="1"/>
      <w:tblStyleColBandSize w:val="1"/>
    </w:tblPr>
    <w:tcPr>
      <w:shd w:val="clear" w:color="auto" w:fill="428FC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76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F6B9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F6B93" w:themeFill="accent2" w:themeFillShade="BF"/>
      </w:tcPr>
    </w:tblStylePr>
    <w:tblStylePr w:type="band1Vert">
      <w:tblPr/>
      <w:tcPr>
        <w:tcBorders>
          <w:top w:val="nil"/>
          <w:left w:val="nil"/>
          <w:bottom w:val="nil"/>
          <w:right w:val="nil"/>
          <w:insideH w:val="nil"/>
          <w:insideV w:val="nil"/>
        </w:tcBorders>
        <w:shd w:val="clear" w:color="auto" w:fill="2F6B93" w:themeFill="accent2" w:themeFillShade="BF"/>
      </w:tcPr>
    </w:tblStylePr>
    <w:tblStylePr w:type="band1Horz">
      <w:tblPr/>
      <w:tcPr>
        <w:tcBorders>
          <w:top w:val="nil"/>
          <w:left w:val="nil"/>
          <w:bottom w:val="nil"/>
          <w:right w:val="nil"/>
          <w:insideH w:val="nil"/>
          <w:insideV w:val="nil"/>
        </w:tcBorders>
        <w:shd w:val="clear" w:color="auto" w:fill="2F6B93" w:themeFill="accent2" w:themeFillShade="BF"/>
      </w:tcPr>
    </w:tblStylePr>
  </w:style>
  <w:style w:type="table" w:styleId="DarkList-Accent3">
    <w:name w:val="Dark List Accent 3"/>
    <w:basedOn w:val="TableNormal"/>
    <w:uiPriority w:val="70"/>
    <w:rsid w:val="00F72739"/>
    <w:pPr>
      <w:spacing w:after="0" w:line="240" w:lineRule="auto"/>
    </w:pPr>
    <w:rPr>
      <w:color w:val="FFFFFF" w:themeColor="background1"/>
    </w:rPr>
    <w:tblPr>
      <w:tblStyleRowBandSize w:val="1"/>
      <w:tblStyleColBandSize w:val="1"/>
    </w:tblPr>
    <w:tcPr>
      <w:shd w:val="clear" w:color="auto" w:fill="3D3C3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D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2C2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2C2C" w:themeFill="accent3" w:themeFillShade="BF"/>
      </w:tcPr>
    </w:tblStylePr>
    <w:tblStylePr w:type="band1Vert">
      <w:tblPr/>
      <w:tcPr>
        <w:tcBorders>
          <w:top w:val="nil"/>
          <w:left w:val="nil"/>
          <w:bottom w:val="nil"/>
          <w:right w:val="nil"/>
          <w:insideH w:val="nil"/>
          <w:insideV w:val="nil"/>
        </w:tcBorders>
        <w:shd w:val="clear" w:color="auto" w:fill="2D2C2C" w:themeFill="accent3" w:themeFillShade="BF"/>
      </w:tcPr>
    </w:tblStylePr>
    <w:tblStylePr w:type="band1Horz">
      <w:tblPr/>
      <w:tcPr>
        <w:tcBorders>
          <w:top w:val="nil"/>
          <w:left w:val="nil"/>
          <w:bottom w:val="nil"/>
          <w:right w:val="nil"/>
          <w:insideH w:val="nil"/>
          <w:insideV w:val="nil"/>
        </w:tcBorders>
        <w:shd w:val="clear" w:color="auto" w:fill="2D2C2C" w:themeFill="accent3" w:themeFillShade="BF"/>
      </w:tcPr>
    </w:tblStylePr>
  </w:style>
  <w:style w:type="table" w:styleId="DarkList-Accent4">
    <w:name w:val="Dark List Accent 4"/>
    <w:basedOn w:val="TableNormal"/>
    <w:uiPriority w:val="70"/>
    <w:rsid w:val="00F72739"/>
    <w:pPr>
      <w:spacing w:after="0" w:line="240" w:lineRule="auto"/>
    </w:pPr>
    <w:rPr>
      <w:color w:val="FFFFFF" w:themeColor="background1"/>
    </w:rPr>
    <w:tblPr>
      <w:tblStyleRowBandSize w:val="1"/>
      <w:tblStyleColBandSize w:val="1"/>
    </w:tblPr>
    <w:tcPr>
      <w:shd w:val="clear" w:color="auto" w:fill="85858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42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63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6363" w:themeFill="accent4" w:themeFillShade="BF"/>
      </w:tcPr>
    </w:tblStylePr>
    <w:tblStylePr w:type="band1Vert">
      <w:tblPr/>
      <w:tcPr>
        <w:tcBorders>
          <w:top w:val="nil"/>
          <w:left w:val="nil"/>
          <w:bottom w:val="nil"/>
          <w:right w:val="nil"/>
          <w:insideH w:val="nil"/>
          <w:insideV w:val="nil"/>
        </w:tcBorders>
        <w:shd w:val="clear" w:color="auto" w:fill="636363" w:themeFill="accent4" w:themeFillShade="BF"/>
      </w:tcPr>
    </w:tblStylePr>
    <w:tblStylePr w:type="band1Horz">
      <w:tblPr/>
      <w:tcPr>
        <w:tcBorders>
          <w:top w:val="nil"/>
          <w:left w:val="nil"/>
          <w:bottom w:val="nil"/>
          <w:right w:val="nil"/>
          <w:insideH w:val="nil"/>
          <w:insideV w:val="nil"/>
        </w:tcBorders>
        <w:shd w:val="clear" w:color="auto" w:fill="636363" w:themeFill="accent4" w:themeFillShade="BF"/>
      </w:tcPr>
    </w:tblStylePr>
  </w:style>
  <w:style w:type="table" w:styleId="DarkList-Accent5">
    <w:name w:val="Dark List Accent 5"/>
    <w:basedOn w:val="TableNormal"/>
    <w:uiPriority w:val="70"/>
    <w:rsid w:val="00F72739"/>
    <w:pPr>
      <w:spacing w:after="0" w:line="240" w:lineRule="auto"/>
    </w:pPr>
    <w:rPr>
      <w:color w:val="FFFFFF" w:themeColor="background1"/>
    </w:rPr>
    <w:tblPr>
      <w:tblStyleRowBandSize w:val="1"/>
      <w:tblStyleColBandSize w:val="1"/>
    </w:tblPr>
    <w:tcPr>
      <w:shd w:val="clear" w:color="auto" w:fill="0071A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53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5378" w:themeFill="accent5" w:themeFillShade="BF"/>
      </w:tcPr>
    </w:tblStylePr>
    <w:tblStylePr w:type="band1Vert">
      <w:tblPr/>
      <w:tcPr>
        <w:tcBorders>
          <w:top w:val="nil"/>
          <w:left w:val="nil"/>
          <w:bottom w:val="nil"/>
          <w:right w:val="nil"/>
          <w:insideH w:val="nil"/>
          <w:insideV w:val="nil"/>
        </w:tcBorders>
        <w:shd w:val="clear" w:color="auto" w:fill="005378" w:themeFill="accent5" w:themeFillShade="BF"/>
      </w:tcPr>
    </w:tblStylePr>
    <w:tblStylePr w:type="band1Horz">
      <w:tblPr/>
      <w:tcPr>
        <w:tcBorders>
          <w:top w:val="nil"/>
          <w:left w:val="nil"/>
          <w:bottom w:val="nil"/>
          <w:right w:val="nil"/>
          <w:insideH w:val="nil"/>
          <w:insideV w:val="nil"/>
        </w:tcBorders>
        <w:shd w:val="clear" w:color="auto" w:fill="005378" w:themeFill="accent5" w:themeFillShade="BF"/>
      </w:tcPr>
    </w:tblStylePr>
  </w:style>
  <w:style w:type="table" w:styleId="DarkList-Accent6">
    <w:name w:val="Dark List Accent 6"/>
    <w:basedOn w:val="TableNormal"/>
    <w:uiPriority w:val="70"/>
    <w:rsid w:val="00F72739"/>
    <w:pPr>
      <w:spacing w:after="0" w:line="240" w:lineRule="auto"/>
    </w:pPr>
    <w:rPr>
      <w:color w:val="FFFFFF" w:themeColor="background1"/>
    </w:rPr>
    <w:tblPr>
      <w:tblStyleRowBandSize w:val="1"/>
      <w:tblStyleColBandSize w:val="1"/>
    </w:tblPr>
    <w:tcPr>
      <w:shd w:val="clear" w:color="auto" w:fill="14436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13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F314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F3148" w:themeFill="accent6" w:themeFillShade="BF"/>
      </w:tcPr>
    </w:tblStylePr>
    <w:tblStylePr w:type="band1Vert">
      <w:tblPr/>
      <w:tcPr>
        <w:tcBorders>
          <w:top w:val="nil"/>
          <w:left w:val="nil"/>
          <w:bottom w:val="nil"/>
          <w:right w:val="nil"/>
          <w:insideH w:val="nil"/>
          <w:insideV w:val="nil"/>
        </w:tcBorders>
        <w:shd w:val="clear" w:color="auto" w:fill="0F3148" w:themeFill="accent6" w:themeFillShade="BF"/>
      </w:tcPr>
    </w:tblStylePr>
    <w:tblStylePr w:type="band1Horz">
      <w:tblPr/>
      <w:tcPr>
        <w:tcBorders>
          <w:top w:val="nil"/>
          <w:left w:val="nil"/>
          <w:bottom w:val="nil"/>
          <w:right w:val="nil"/>
          <w:insideH w:val="nil"/>
          <w:insideV w:val="nil"/>
        </w:tcBorders>
        <w:shd w:val="clear" w:color="auto" w:fill="0F3148" w:themeFill="accent6" w:themeFillShade="BF"/>
      </w:tcPr>
    </w:tblStylePr>
  </w:style>
  <w:style w:type="table" w:styleId="TableProfessional">
    <w:name w:val="Table Professional"/>
    <w:basedOn w:val="TableNormal"/>
    <w:uiPriority w:val="99"/>
    <w:semiHidden/>
    <w:unhideWhenUsed/>
    <w:rsid w:val="00F727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F7273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273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273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273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F7273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27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273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F7273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273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273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27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273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F7273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273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273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273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273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273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273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273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1">
    <w:name w:val="Table Grid 1"/>
    <w:basedOn w:val="TableNormal"/>
    <w:uiPriority w:val="99"/>
    <w:semiHidden/>
    <w:unhideWhenUsed/>
    <w:rsid w:val="00F7273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7273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7273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273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273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273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273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273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2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273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27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27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typ1niv1">
    <w:name w:val="Listtyp 1 nivå 1"/>
    <w:basedOn w:val="Normal"/>
    <w:uiPriority w:val="19"/>
    <w:qFormat/>
    <w:rsid w:val="00587CBC"/>
    <w:pPr>
      <w:numPr>
        <w:ilvl w:val="5"/>
        <w:numId w:val="12"/>
      </w:numPr>
    </w:pPr>
  </w:style>
  <w:style w:type="paragraph" w:customStyle="1" w:styleId="Listtyp1niv2">
    <w:name w:val="Listtyp 1 nivå 2"/>
    <w:basedOn w:val="Normal"/>
    <w:uiPriority w:val="19"/>
    <w:qFormat/>
    <w:rsid w:val="00587CBC"/>
    <w:pPr>
      <w:numPr>
        <w:ilvl w:val="6"/>
        <w:numId w:val="12"/>
      </w:numPr>
    </w:pPr>
  </w:style>
  <w:style w:type="paragraph" w:customStyle="1" w:styleId="Listtyp1niv3">
    <w:name w:val="Listtyp 1 nivå 3"/>
    <w:basedOn w:val="Normal"/>
    <w:uiPriority w:val="19"/>
    <w:qFormat/>
    <w:rsid w:val="00587CBC"/>
    <w:pPr>
      <w:numPr>
        <w:ilvl w:val="7"/>
        <w:numId w:val="12"/>
      </w:numPr>
    </w:pPr>
  </w:style>
  <w:style w:type="paragraph" w:customStyle="1" w:styleId="Listtyp1niv4">
    <w:name w:val="Listtyp 1 nivå 4"/>
    <w:basedOn w:val="Normal"/>
    <w:uiPriority w:val="19"/>
    <w:qFormat/>
    <w:rsid w:val="00587CBC"/>
    <w:pPr>
      <w:numPr>
        <w:ilvl w:val="8"/>
        <w:numId w:val="12"/>
      </w:numPr>
    </w:pPr>
  </w:style>
  <w:style w:type="paragraph" w:customStyle="1" w:styleId="Listtyp2niv1">
    <w:name w:val="Listtyp 2 nivå 1"/>
    <w:basedOn w:val="Normal"/>
    <w:uiPriority w:val="19"/>
    <w:semiHidden/>
    <w:qFormat/>
    <w:rsid w:val="00F72739"/>
    <w:pPr>
      <w:numPr>
        <w:numId w:val="3"/>
      </w:numPr>
    </w:pPr>
  </w:style>
  <w:style w:type="paragraph" w:customStyle="1" w:styleId="Listtyp2niv2">
    <w:name w:val="Listtyp 2 nivå 2"/>
    <w:basedOn w:val="Normal"/>
    <w:uiPriority w:val="19"/>
    <w:semiHidden/>
    <w:qFormat/>
    <w:rsid w:val="00F72739"/>
    <w:pPr>
      <w:numPr>
        <w:ilvl w:val="1"/>
        <w:numId w:val="3"/>
      </w:numPr>
    </w:pPr>
  </w:style>
  <w:style w:type="paragraph" w:customStyle="1" w:styleId="Listtyp2niv3">
    <w:name w:val="Listtyp 2 nivå 3"/>
    <w:basedOn w:val="Normal"/>
    <w:uiPriority w:val="19"/>
    <w:semiHidden/>
    <w:qFormat/>
    <w:rsid w:val="00F72739"/>
    <w:pPr>
      <w:numPr>
        <w:ilvl w:val="2"/>
        <w:numId w:val="3"/>
      </w:numPr>
    </w:pPr>
  </w:style>
  <w:style w:type="paragraph" w:customStyle="1" w:styleId="Listtyp2niv4">
    <w:name w:val="Listtyp 2 nivå 4"/>
    <w:basedOn w:val="Normal"/>
    <w:uiPriority w:val="19"/>
    <w:semiHidden/>
    <w:qFormat/>
    <w:rsid w:val="00F72739"/>
    <w:pPr>
      <w:numPr>
        <w:ilvl w:val="3"/>
        <w:numId w:val="3"/>
      </w:numPr>
    </w:pPr>
  </w:style>
  <w:style w:type="numbering" w:customStyle="1" w:styleId="Punktlistan">
    <w:name w:val="Punktlistan"/>
    <w:uiPriority w:val="99"/>
    <w:rsid w:val="00587CBC"/>
    <w:pPr>
      <w:numPr>
        <w:numId w:val="8"/>
      </w:numPr>
    </w:pPr>
  </w:style>
  <w:style w:type="numbering" w:customStyle="1" w:styleId="Rubriknumrering">
    <w:name w:val="Rubriknumrering"/>
    <w:uiPriority w:val="99"/>
    <w:rsid w:val="00587CBC"/>
    <w:pPr>
      <w:numPr>
        <w:numId w:val="9"/>
      </w:numPr>
    </w:pPr>
  </w:style>
  <w:style w:type="numbering" w:customStyle="1" w:styleId="Listtyp2">
    <w:name w:val="Listtyp 2"/>
    <w:uiPriority w:val="99"/>
    <w:rsid w:val="00F72739"/>
    <w:pPr>
      <w:numPr>
        <w:numId w:val="2"/>
      </w:numPr>
    </w:pPr>
  </w:style>
  <w:style w:type="numbering" w:customStyle="1" w:styleId="Numreradlistanr">
    <w:name w:val="Numrerad lista nr"/>
    <w:uiPriority w:val="99"/>
    <w:rsid w:val="00F72739"/>
    <w:pPr>
      <w:numPr>
        <w:numId w:val="6"/>
      </w:numPr>
    </w:pPr>
  </w:style>
  <w:style w:type="paragraph" w:customStyle="1" w:styleId="Styckeniv2">
    <w:name w:val="Stycke nivå 2"/>
    <w:basedOn w:val="Heading2"/>
    <w:uiPriority w:val="7"/>
    <w:qFormat/>
    <w:rsid w:val="007C5D03"/>
    <w:pPr>
      <w:spacing w:before="0" w:after="160"/>
      <w:jc w:val="both"/>
      <w:outlineLvl w:val="9"/>
    </w:pPr>
    <w:rPr>
      <w:rFonts w:asciiTheme="minorHAnsi" w:hAnsiTheme="minorHAnsi"/>
      <w:b w:val="0"/>
    </w:rPr>
  </w:style>
  <w:style w:type="paragraph" w:customStyle="1" w:styleId="Styckeniv3">
    <w:name w:val="Stycke nivå 3"/>
    <w:basedOn w:val="Heading3"/>
    <w:uiPriority w:val="7"/>
    <w:semiHidden/>
    <w:qFormat/>
    <w:rsid w:val="007C5D03"/>
    <w:pPr>
      <w:spacing w:before="0" w:after="160"/>
      <w:jc w:val="both"/>
      <w:outlineLvl w:val="9"/>
    </w:pPr>
    <w:rPr>
      <w:rFonts w:asciiTheme="minorHAnsi" w:hAnsiTheme="minorHAnsi"/>
    </w:rPr>
  </w:style>
  <w:style w:type="paragraph" w:customStyle="1" w:styleId="Styckeniv4">
    <w:name w:val="Stycke nivå 4"/>
    <w:basedOn w:val="Heading4"/>
    <w:uiPriority w:val="7"/>
    <w:semiHidden/>
    <w:qFormat/>
    <w:rsid w:val="007C5D03"/>
    <w:pPr>
      <w:spacing w:before="0" w:after="160" w:line="240" w:lineRule="auto"/>
      <w:outlineLvl w:val="9"/>
    </w:pPr>
    <w:rPr>
      <w:rFonts w:asciiTheme="minorHAnsi" w:hAnsiTheme="minorHAnsi"/>
      <w:i w:val="0"/>
    </w:rPr>
  </w:style>
  <w:style w:type="paragraph" w:customStyle="1" w:styleId="Parties">
    <w:name w:val="Parties"/>
    <w:basedOn w:val="Normal"/>
    <w:uiPriority w:val="39"/>
    <w:semiHidden/>
    <w:rsid w:val="00F72739"/>
    <w:pPr>
      <w:numPr>
        <w:numId w:val="7"/>
      </w:numPr>
    </w:pPr>
  </w:style>
  <w:style w:type="paragraph" w:customStyle="1" w:styleId="Whereas">
    <w:name w:val="Whereas"/>
    <w:basedOn w:val="Normal"/>
    <w:uiPriority w:val="39"/>
    <w:semiHidden/>
    <w:rsid w:val="00F72739"/>
    <w:pPr>
      <w:numPr>
        <w:numId w:val="10"/>
      </w:numPr>
    </w:pPr>
  </w:style>
  <w:style w:type="numbering" w:customStyle="1" w:styleId="Partieslist">
    <w:name w:val="Partieslist"/>
    <w:uiPriority w:val="99"/>
    <w:rsid w:val="00F72739"/>
    <w:pPr>
      <w:numPr>
        <w:numId w:val="7"/>
      </w:numPr>
    </w:pPr>
  </w:style>
  <w:style w:type="numbering" w:customStyle="1" w:styleId="Whereaslist">
    <w:name w:val="Whereaslist"/>
    <w:uiPriority w:val="99"/>
    <w:rsid w:val="00F72739"/>
    <w:pPr>
      <w:numPr>
        <w:numId w:val="10"/>
      </w:numPr>
    </w:pPr>
  </w:style>
  <w:style w:type="paragraph" w:customStyle="1" w:styleId="Bilagansrubrik">
    <w:name w:val="Bilagans rubrik"/>
    <w:basedOn w:val="BilagaRubrik1"/>
    <w:uiPriority w:val="28"/>
    <w:semiHidden/>
    <w:qFormat/>
    <w:rsid w:val="00F72739"/>
    <w:pPr>
      <w:keepNext/>
      <w:pageBreakBefore/>
      <w:numPr>
        <w:ilvl w:val="0"/>
      </w:numPr>
      <w:spacing w:before="0" w:line="360" w:lineRule="atLeast"/>
      <w:jc w:val="center"/>
      <w:outlineLvl w:val="0"/>
    </w:pPr>
    <w:rPr>
      <w:sz w:val="30"/>
    </w:rPr>
  </w:style>
  <w:style w:type="paragraph" w:customStyle="1" w:styleId="BilagaRubrik1">
    <w:name w:val="Bilaga Rubrik 1"/>
    <w:basedOn w:val="Normal"/>
    <w:next w:val="NormalIndent"/>
    <w:uiPriority w:val="29"/>
    <w:semiHidden/>
    <w:qFormat/>
    <w:rsid w:val="00F72739"/>
    <w:pPr>
      <w:numPr>
        <w:ilvl w:val="1"/>
        <w:numId w:val="1"/>
      </w:numPr>
      <w:spacing w:before="320" w:after="40"/>
      <w:jc w:val="left"/>
      <w:outlineLvl w:val="1"/>
    </w:pPr>
    <w:rPr>
      <w:rFonts w:ascii="Arial Narrow" w:hAnsi="Arial Narrow"/>
      <w:b/>
      <w:sz w:val="26"/>
    </w:rPr>
  </w:style>
  <w:style w:type="paragraph" w:customStyle="1" w:styleId="BilagaRubrik2">
    <w:name w:val="Bilaga Rubrik 2"/>
    <w:basedOn w:val="Normal"/>
    <w:next w:val="NormalIndent"/>
    <w:uiPriority w:val="29"/>
    <w:semiHidden/>
    <w:qFormat/>
    <w:rsid w:val="00F72739"/>
    <w:pPr>
      <w:numPr>
        <w:ilvl w:val="2"/>
        <w:numId w:val="1"/>
      </w:numPr>
      <w:spacing w:before="240" w:after="40"/>
      <w:jc w:val="left"/>
      <w:outlineLvl w:val="1"/>
    </w:pPr>
    <w:rPr>
      <w:rFonts w:ascii="Arial Narrow" w:hAnsi="Arial Narrow"/>
      <w:b/>
    </w:rPr>
  </w:style>
  <w:style w:type="paragraph" w:customStyle="1" w:styleId="BilagaRubrik3">
    <w:name w:val="Bilaga Rubrik 3"/>
    <w:basedOn w:val="Normal"/>
    <w:next w:val="NormalIndent"/>
    <w:uiPriority w:val="29"/>
    <w:semiHidden/>
    <w:qFormat/>
    <w:rsid w:val="00F72739"/>
    <w:pPr>
      <w:numPr>
        <w:ilvl w:val="3"/>
        <w:numId w:val="1"/>
      </w:numPr>
      <w:spacing w:before="240" w:after="40"/>
      <w:jc w:val="left"/>
      <w:outlineLvl w:val="3"/>
    </w:pPr>
    <w:rPr>
      <w:rFonts w:ascii="Arial Narrow" w:hAnsi="Arial Narrow"/>
      <w:b/>
    </w:rPr>
  </w:style>
  <w:style w:type="numbering" w:customStyle="1" w:styleId="Bilagenumrering">
    <w:name w:val="Bilagenumrering"/>
    <w:uiPriority w:val="99"/>
    <w:rsid w:val="00F72739"/>
    <w:pPr>
      <w:numPr>
        <w:numId w:val="1"/>
      </w:numPr>
    </w:pPr>
  </w:style>
  <w:style w:type="paragraph" w:customStyle="1" w:styleId="BilagaListtyp1niv1">
    <w:name w:val="Bilaga Listtyp 1 nivå 1"/>
    <w:basedOn w:val="Normal"/>
    <w:uiPriority w:val="31"/>
    <w:semiHidden/>
    <w:qFormat/>
    <w:rsid w:val="00F72739"/>
    <w:pPr>
      <w:numPr>
        <w:ilvl w:val="5"/>
        <w:numId w:val="1"/>
      </w:numPr>
    </w:pPr>
  </w:style>
  <w:style w:type="paragraph" w:customStyle="1" w:styleId="BilagaListtyp1niv2">
    <w:name w:val="Bilaga Listtyp 1 nivå 2"/>
    <w:basedOn w:val="BilagaListtyp1niv1"/>
    <w:uiPriority w:val="31"/>
    <w:semiHidden/>
    <w:qFormat/>
    <w:rsid w:val="00F72739"/>
    <w:pPr>
      <w:numPr>
        <w:ilvl w:val="6"/>
      </w:numPr>
    </w:pPr>
  </w:style>
  <w:style w:type="paragraph" w:customStyle="1" w:styleId="BilagaListtyp1niv3">
    <w:name w:val="Bilaga Listtyp 1 nivå 3"/>
    <w:basedOn w:val="Normal"/>
    <w:uiPriority w:val="31"/>
    <w:semiHidden/>
    <w:qFormat/>
    <w:rsid w:val="00F72739"/>
    <w:pPr>
      <w:numPr>
        <w:ilvl w:val="7"/>
        <w:numId w:val="1"/>
      </w:numPr>
    </w:pPr>
  </w:style>
  <w:style w:type="paragraph" w:customStyle="1" w:styleId="BilagaListtyp1niv4">
    <w:name w:val="Bilaga Listtyp 1 nivå 4"/>
    <w:basedOn w:val="Normal"/>
    <w:uiPriority w:val="31"/>
    <w:semiHidden/>
    <w:qFormat/>
    <w:rsid w:val="00F72739"/>
    <w:pPr>
      <w:numPr>
        <w:ilvl w:val="8"/>
        <w:numId w:val="1"/>
      </w:numPr>
    </w:pPr>
  </w:style>
  <w:style w:type="paragraph" w:customStyle="1" w:styleId="BilagaStyckeniv2">
    <w:name w:val="Bilaga Stycke nivå 2"/>
    <w:basedOn w:val="BilagaRubrik2"/>
    <w:uiPriority w:val="30"/>
    <w:semiHidden/>
    <w:qFormat/>
    <w:rsid w:val="00F72739"/>
    <w:pPr>
      <w:numPr>
        <w:ilvl w:val="0"/>
        <w:numId w:val="0"/>
      </w:numPr>
      <w:spacing w:before="0" w:after="160"/>
      <w:outlineLvl w:val="9"/>
    </w:pPr>
    <w:rPr>
      <w:rFonts w:asciiTheme="minorHAnsi" w:hAnsiTheme="minorHAnsi"/>
      <w:b w:val="0"/>
    </w:rPr>
  </w:style>
  <w:style w:type="paragraph" w:customStyle="1" w:styleId="BilagaStyckeniv3">
    <w:name w:val="Bilaga Stycke nivå 3"/>
    <w:basedOn w:val="BilagaRubrik3"/>
    <w:uiPriority w:val="30"/>
    <w:semiHidden/>
    <w:qFormat/>
    <w:rsid w:val="00F72739"/>
    <w:pPr>
      <w:numPr>
        <w:ilvl w:val="0"/>
        <w:numId w:val="0"/>
      </w:numPr>
      <w:spacing w:before="0" w:after="160"/>
      <w:outlineLvl w:val="9"/>
    </w:pPr>
    <w:rPr>
      <w:rFonts w:asciiTheme="minorHAnsi" w:hAnsiTheme="minorHAnsi"/>
      <w:b w:val="0"/>
    </w:rPr>
  </w:style>
  <w:style w:type="paragraph" w:customStyle="1" w:styleId="Avtalstitel">
    <w:name w:val="Avtalstitel"/>
    <w:basedOn w:val="Title"/>
    <w:uiPriority w:val="99"/>
    <w:rsid w:val="00F72739"/>
    <w:pPr>
      <w:spacing w:after="168" w:line="360" w:lineRule="atLeast"/>
    </w:pPr>
    <w:rPr>
      <w:color w:val="19638A"/>
    </w:rPr>
  </w:style>
  <w:style w:type="paragraph" w:customStyle="1" w:styleId="Avtalspart">
    <w:name w:val="Avtalspart"/>
    <w:basedOn w:val="Normal"/>
    <w:next w:val="Normal"/>
    <w:semiHidden/>
    <w:rsid w:val="00F72739"/>
    <w:pPr>
      <w:spacing w:after="0"/>
    </w:pPr>
    <w:rPr>
      <w:rFonts w:ascii="Arial Narrow" w:hAnsi="Arial Narrow"/>
      <w:caps/>
    </w:rPr>
  </w:style>
  <w:style w:type="paragraph" w:customStyle="1" w:styleId="Datum1asidan">
    <w:name w:val="Datum 1a sidan"/>
    <w:basedOn w:val="Normal"/>
    <w:uiPriority w:val="99"/>
    <w:semiHidden/>
    <w:rsid w:val="00F72739"/>
    <w:pPr>
      <w:spacing w:line="280" w:lineRule="atLeast"/>
    </w:pPr>
  </w:style>
  <w:style w:type="paragraph" w:customStyle="1" w:styleId="Memounderrub">
    <w:name w:val="Memo underrub"/>
    <w:basedOn w:val="Title"/>
    <w:semiHidden/>
    <w:qFormat/>
    <w:rsid w:val="00F72739"/>
    <w:pPr>
      <w:spacing w:line="220" w:lineRule="atLeast"/>
    </w:pPr>
    <w:rPr>
      <w:sz w:val="26"/>
      <w:szCs w:val="26"/>
    </w:rPr>
  </w:style>
  <w:style w:type="paragraph" w:customStyle="1" w:styleId="NrLista">
    <w:name w:val="Nr Lista"/>
    <w:basedOn w:val="Normal"/>
    <w:uiPriority w:val="13"/>
    <w:semiHidden/>
    <w:qFormat/>
    <w:rsid w:val="00F72739"/>
    <w:pPr>
      <w:numPr>
        <w:numId w:val="4"/>
      </w:numPr>
    </w:pPr>
  </w:style>
  <w:style w:type="numbering" w:customStyle="1" w:styleId="NrPMLista">
    <w:name w:val="Nr PM Lista"/>
    <w:uiPriority w:val="99"/>
    <w:rsid w:val="00F72739"/>
    <w:pPr>
      <w:numPr>
        <w:numId w:val="4"/>
      </w:numPr>
    </w:pPr>
  </w:style>
  <w:style w:type="paragraph" w:customStyle="1" w:styleId="ort">
    <w:name w:val="ort"/>
    <w:basedOn w:val="Normal"/>
    <w:semiHidden/>
    <w:qFormat/>
    <w:rsid w:val="00F72739"/>
    <w:pPr>
      <w:spacing w:before="480" w:after="0" w:line="360" w:lineRule="atLeast"/>
      <w:jc w:val="left"/>
    </w:pPr>
    <w:rPr>
      <w:rFonts w:ascii="Calibri" w:hAnsi="Calibri"/>
      <w:color w:val="393636"/>
    </w:rPr>
  </w:style>
  <w:style w:type="paragraph" w:customStyle="1" w:styleId="TM">
    <w:name w:val="TM"/>
    <w:basedOn w:val="Normal"/>
    <w:semiHidden/>
    <w:qFormat/>
    <w:rsid w:val="00F72739"/>
    <w:pPr>
      <w:spacing w:after="0" w:line="280" w:lineRule="atLeast"/>
      <w:jc w:val="left"/>
    </w:pPr>
    <w:rPr>
      <w:rFonts w:ascii="Arial Narrow" w:hAnsi="Arial Narrow"/>
      <w:caps/>
      <w:color w:val="393636"/>
      <w:sz w:val="21"/>
      <w:szCs w:val="21"/>
    </w:rPr>
  </w:style>
  <w:style w:type="numbering" w:customStyle="1" w:styleId="Rubriknumrering1">
    <w:name w:val="Rubriknumrering1"/>
    <w:uiPriority w:val="99"/>
    <w:rsid w:val="00580868"/>
  </w:style>
  <w:style w:type="paragraph" w:customStyle="1" w:styleId="NormalEnglish">
    <w:name w:val="Normal English"/>
    <w:basedOn w:val="Normal"/>
    <w:qFormat/>
    <w:rsid w:val="00BE1513"/>
    <w:pPr>
      <w:spacing w:after="100" w:line="240" w:lineRule="auto"/>
      <w:jc w:val="left"/>
    </w:pPr>
    <w:rPr>
      <w:i/>
    </w:rPr>
  </w:style>
  <w:style w:type="numbering" w:customStyle="1" w:styleId="NumberedHeadings">
    <w:name w:val="NumberedHeadings"/>
    <w:uiPriority w:val="99"/>
    <w:rsid w:val="00D520B0"/>
    <w:pPr>
      <w:numPr>
        <w:numId w:val="27"/>
      </w:numPr>
    </w:pPr>
  </w:style>
  <w:style w:type="paragraph" w:customStyle="1" w:styleId="AlphaListLevel1">
    <w:name w:val="Alpha List Level 1"/>
    <w:basedOn w:val="Normal"/>
    <w:uiPriority w:val="18"/>
    <w:qFormat/>
    <w:rsid w:val="00D520B0"/>
    <w:pPr>
      <w:spacing w:before="100" w:after="100" w:line="276" w:lineRule="auto"/>
      <w:ind w:left="851" w:hanging="851"/>
    </w:pPr>
    <w:rPr>
      <w:rFonts w:ascii="Calibri" w:eastAsia="Times New Roman" w:hAnsi="Calibri" w:cs="Times New Roman"/>
      <w:szCs w:val="24"/>
      <w:lang w:val="en-GB" w:eastAsia="sv-SE"/>
    </w:rPr>
  </w:style>
  <w:style w:type="paragraph" w:customStyle="1" w:styleId="RomanListLevel1">
    <w:name w:val="Roman List Level 1"/>
    <w:basedOn w:val="Normal"/>
    <w:uiPriority w:val="18"/>
    <w:qFormat/>
    <w:rsid w:val="00D520B0"/>
    <w:pPr>
      <w:spacing w:before="100" w:after="100" w:line="276" w:lineRule="auto"/>
      <w:ind w:left="1418" w:hanging="567"/>
    </w:pPr>
    <w:rPr>
      <w:rFonts w:ascii="Calibri" w:eastAsia="Times New Roman" w:hAnsi="Calibri" w:cs="Times New Roman"/>
      <w:szCs w:val="24"/>
      <w:lang w:val="en-GB" w:eastAsia="sv-SE"/>
    </w:rPr>
  </w:style>
  <w:style w:type="paragraph" w:customStyle="1" w:styleId="Sub-Paragraph1">
    <w:name w:val="Sub-Paragraph 1"/>
    <w:basedOn w:val="Heading2"/>
    <w:uiPriority w:val="4"/>
    <w:qFormat/>
    <w:rsid w:val="00D520B0"/>
    <w:pPr>
      <w:keepNext w:val="0"/>
      <w:keepLines w:val="0"/>
      <w:numPr>
        <w:ilvl w:val="1"/>
      </w:numPr>
      <w:spacing w:before="100" w:after="100" w:line="276" w:lineRule="auto"/>
      <w:ind w:left="851" w:hanging="851"/>
      <w:jc w:val="both"/>
      <w:outlineLvl w:val="9"/>
    </w:pPr>
    <w:rPr>
      <w:rFonts w:ascii="Calibri" w:eastAsia="Times New Roman" w:hAnsi="Calibri" w:cs="Arial"/>
      <w:b w:val="0"/>
      <w:bCs w:val="0"/>
      <w:iCs/>
      <w:kern w:val="32"/>
      <w:szCs w:val="28"/>
      <w:lang w:val="en-GB" w:eastAsia="sv-SE"/>
    </w:rPr>
  </w:style>
  <w:style w:type="paragraph" w:customStyle="1" w:styleId="NumberedListLevel1">
    <w:name w:val="Numbered List Level 1"/>
    <w:basedOn w:val="Normal"/>
    <w:uiPriority w:val="19"/>
    <w:qFormat/>
    <w:rsid w:val="00D520B0"/>
    <w:pPr>
      <w:spacing w:before="100" w:after="100" w:line="276" w:lineRule="auto"/>
      <w:ind w:left="2552" w:hanging="567"/>
    </w:pPr>
    <w:rPr>
      <w:rFonts w:ascii="Calibri" w:eastAsia="Times New Roman" w:hAnsi="Calibri" w:cs="Times New Roman"/>
      <w:szCs w:val="24"/>
      <w:lang w:val="en-GB" w:eastAsia="sv-SE"/>
    </w:rPr>
  </w:style>
  <w:style w:type="paragraph" w:customStyle="1" w:styleId="LetterListLevel1">
    <w:name w:val="Letter List Level 1"/>
    <w:basedOn w:val="Normal"/>
    <w:uiPriority w:val="19"/>
    <w:qFormat/>
    <w:rsid w:val="00D520B0"/>
    <w:pPr>
      <w:spacing w:before="100" w:after="100" w:line="276" w:lineRule="auto"/>
      <w:ind w:left="1985" w:hanging="567"/>
    </w:pPr>
    <w:rPr>
      <w:rFonts w:ascii="Calibri" w:eastAsia="Times New Roman" w:hAnsi="Calibri" w:cs="Times New Roman"/>
      <w:szCs w:val="24"/>
      <w:lang w:val="en-GB" w:eastAsia="sv-SE"/>
    </w:rPr>
  </w:style>
  <w:style w:type="character" w:customStyle="1" w:styleId="UnresolvedMention1">
    <w:name w:val="Unresolved Mention1"/>
    <w:basedOn w:val="DefaultParagraphFont"/>
    <w:uiPriority w:val="99"/>
    <w:rsid w:val="00F3020D"/>
    <w:rPr>
      <w:color w:val="605E5C"/>
      <w:shd w:val="clear" w:color="auto" w:fill="E1DFDD"/>
    </w:rPr>
  </w:style>
  <w:style w:type="paragraph" w:styleId="Revision">
    <w:name w:val="Revision"/>
    <w:hidden/>
    <w:uiPriority w:val="99"/>
    <w:semiHidden/>
    <w:rsid w:val="00C93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örngren Magnell">
  <a:themeElements>
    <a:clrScheme name="Törngren Magnell">
      <a:dk1>
        <a:sysClr val="windowText" lastClr="000000"/>
      </a:dk1>
      <a:lt1>
        <a:sysClr val="window" lastClr="FFFFFF"/>
      </a:lt1>
      <a:dk2>
        <a:srgbClr val="144361"/>
      </a:dk2>
      <a:lt2>
        <a:srgbClr val="EEECE1"/>
      </a:lt2>
      <a:accent1>
        <a:srgbClr val="144361"/>
      </a:accent1>
      <a:accent2>
        <a:srgbClr val="428FC2"/>
      </a:accent2>
      <a:accent3>
        <a:srgbClr val="3D3C3C"/>
      </a:accent3>
      <a:accent4>
        <a:srgbClr val="858585"/>
      </a:accent4>
      <a:accent5>
        <a:srgbClr val="0071A1"/>
      </a:accent5>
      <a:accent6>
        <a:srgbClr val="144361"/>
      </a:accent6>
      <a:hlink>
        <a:srgbClr val="0000FF"/>
      </a:hlink>
      <a:folHlink>
        <a:srgbClr val="800080"/>
      </a:folHlink>
    </a:clrScheme>
    <a:fontScheme name="Törngren Magnell">
      <a:majorFont>
        <a:latin typeface="Arial Narrow"/>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 L e g a l ! 6 0 4 0 9 8 . 1 < / d o c u m e n t i d >  
     < s e n d e r i d > E M I L . H E D B E R G < / s e n d e r i d >  
     < s e n d e r e m a i l > E M I L . H E D B E R G @ S C H J O D T . C O M < / s e n d e r e m a i l >  
     < l a s t m o d i f i e d > 2 0 2 1 - 0 1 - 2 9 T 1 5 : 0 4 : 0 0 . 0 0 0 0 0 0 0 + 0 1 : 0 0 < / l a s t m o d i f i e d >  
     < d a t a b a s e > L e g a l < / d a t a b a s e >  
 < / p r o p e r t i e s > 
</file>

<file path=customXml/item3.xml>��< ? x m l   v e r s i o n = " 1 . 0 "   e n c o d i n g = " u t f - 1 6 " ? > < p r o p e r t i e s   x m l n s = " h t t p : / / w w w . i m a n a g e . c o m / w o r k / x m l s c h e m a " >  
     < d o c u m e n t i d > L e g a l ! 6 0 4 0 9 8 . 1 < / d o c u m e n t i d >  
     < s e n d e r i d > E M I L . H E D B E R G < / s e n d e r i d >  
     < s e n d e r e m a i l > E M I L . H E D B E R G @ S C H J O D T . C O M < / s e n d e r e m a i l >  
     < l a s t m o d i f i e d > 2 0 2 1 - 0 1 - 2 9 T 1 5 : 0 4 : 0 0 . 0 0 0 0 0 0 0 + 0 1 : 0 0 < / l a s t m o d i f i e d >  
     < d a t a b a s e > L e g a l < / d a t a b a s e >  
 < / p r o p e r t i e s > 
</file>

<file path=customXml/itemProps1.xml><?xml version="1.0" encoding="utf-8"?>
<ds:datastoreItem xmlns:ds="http://schemas.openxmlformats.org/officeDocument/2006/customXml" ds:itemID="{AD29B31F-E35F-4A3D-BD60-ADB1D7CFB84D}">
  <ds:schemaRefs>
    <ds:schemaRef ds:uri="http://schemas.openxmlformats.org/officeDocument/2006/bibliography"/>
  </ds:schemaRefs>
</ds:datastoreItem>
</file>

<file path=customXml/itemProps2.xml><?xml version="1.0" encoding="utf-8"?>
<ds:datastoreItem xmlns:ds="http://schemas.openxmlformats.org/officeDocument/2006/customXml" ds:itemID="{7010EAC7-2845-4B55-96CD-C4D7DDB829CC}">
  <ds:schemaRefs>
    <ds:schemaRef ds:uri="http://www.imanage.com/work/xmlschema"/>
  </ds:schemaRefs>
</ds:datastoreItem>
</file>

<file path=customXml/itemProps3.xml><?xml version="1.0" encoding="utf-8"?>
<ds:datastoreItem xmlns:ds="http://schemas.openxmlformats.org/officeDocument/2006/customXml" ds:itemID="{D1B10630-34D5-4E18-B408-971B965B173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7925</Words>
  <Characters>40896</Characters>
  <Application>Microsoft Office Word</Application>
  <DocSecurity>0</DocSecurity>
  <Lines>870</Lines>
  <Paragraphs>261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2022-05-05T07:57:00Z</dcterms:created>
  <dcterms:modified xsi:type="dcterms:W3CDTF">2022-05-05T17:42:00Z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SDocId">
    <vt:i4>132114</vt:i4>
  </property>
  <property fmtid="{D5CDD505-2E9C-101B-9397-08002B2CF9AE}" pid="3" name="SOSRevision">
    <vt:i4>1</vt:i4>
  </property>
  <property fmtid="{D5CDD505-2E9C-101B-9397-08002B2CF9AE}" pid="4" name="SOSSeqNo">
    <vt:i4>132311</vt:i4>
  </property>
</Properties>
</file>